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53C1C" w14:textId="77777777" w:rsidR="00627978" w:rsidRPr="009A78FA" w:rsidRDefault="00627978" w:rsidP="00236620">
      <w:pPr>
        <w:pBdr>
          <w:bottom w:val="single" w:sz="8" w:space="4" w:color="4F81BD" w:themeColor="accent1"/>
        </w:pBdr>
        <w:spacing w:after="0" w:line="240" w:lineRule="auto"/>
        <w:contextualSpacing/>
        <w:jc w:val="center"/>
        <w:rPr>
          <w:rFonts w:eastAsiaTheme="majorEastAsia"/>
          <w:b/>
          <w:color w:val="0095D9"/>
          <w:spacing w:val="5"/>
          <w:kern w:val="28"/>
          <w:sz w:val="44"/>
          <w:szCs w:val="52"/>
          <w:lang w:val="cs-CZ"/>
        </w:rPr>
      </w:pPr>
      <w:r w:rsidRPr="009A78FA">
        <w:rPr>
          <w:rFonts w:eastAsiaTheme="majorEastAsia"/>
          <w:b/>
          <w:color w:val="0095D9"/>
          <w:spacing w:val="5"/>
          <w:kern w:val="28"/>
          <w:sz w:val="44"/>
          <w:szCs w:val="52"/>
          <w:lang w:val="cs-CZ"/>
        </w:rPr>
        <w:t xml:space="preserve">Všeobecná pravidla pro řešení projektů </w:t>
      </w:r>
      <w:proofErr w:type="spellStart"/>
      <w:r w:rsidRPr="009A78FA">
        <w:rPr>
          <w:rFonts w:eastAsiaTheme="majorEastAsia"/>
          <w:b/>
          <w:color w:val="0095D9"/>
          <w:spacing w:val="5"/>
          <w:kern w:val="28"/>
          <w:sz w:val="44"/>
          <w:szCs w:val="52"/>
          <w:lang w:val="cs-CZ"/>
        </w:rPr>
        <w:t>PoC</w:t>
      </w:r>
      <w:proofErr w:type="spellEnd"/>
      <w:r w:rsidRPr="009A78FA">
        <w:rPr>
          <w:rFonts w:eastAsiaTheme="majorEastAsia"/>
          <w:b/>
          <w:color w:val="0095D9"/>
          <w:spacing w:val="5"/>
          <w:kern w:val="28"/>
          <w:sz w:val="44"/>
          <w:szCs w:val="52"/>
          <w:lang w:val="cs-CZ"/>
        </w:rPr>
        <w:t xml:space="preserve"> Univerzity Palackého v Olomouci</w:t>
      </w:r>
    </w:p>
    <w:p w14:paraId="66C53C1D" w14:textId="77777777" w:rsidR="00627978" w:rsidRPr="00620C89" w:rsidRDefault="00627978" w:rsidP="00236620">
      <w:pPr>
        <w:keepNext/>
        <w:keepLines/>
        <w:spacing w:before="480" w:after="0" w:line="240" w:lineRule="auto"/>
        <w:outlineLvl w:val="0"/>
        <w:rPr>
          <w:rFonts w:eastAsiaTheme="majorEastAsia"/>
          <w:b/>
          <w:bCs/>
          <w:color w:val="0095DB"/>
          <w:sz w:val="28"/>
          <w:szCs w:val="28"/>
          <w:lang w:val="cs-CZ"/>
        </w:rPr>
      </w:pPr>
      <w:r w:rsidRPr="00620C89">
        <w:rPr>
          <w:rFonts w:eastAsiaTheme="majorEastAsia"/>
          <w:b/>
          <w:bCs/>
          <w:color w:val="0095DB"/>
          <w:sz w:val="28"/>
          <w:szCs w:val="28"/>
          <w:lang w:val="cs-CZ"/>
        </w:rPr>
        <w:t>Použité zkratky</w:t>
      </w:r>
    </w:p>
    <w:p w14:paraId="66C53C1E" w14:textId="1D5E6776" w:rsidR="00627978" w:rsidRPr="00627978" w:rsidRDefault="00627978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r w:rsidRPr="00627978">
        <w:rPr>
          <w:lang w:val="cs-CZ"/>
        </w:rPr>
        <w:t xml:space="preserve">TSP </w:t>
      </w:r>
      <w:r w:rsidR="1DAF1057" w:rsidRPr="00627978">
        <w:rPr>
          <w:lang w:val="cs-CZ"/>
        </w:rPr>
        <w:t xml:space="preserve">- </w:t>
      </w:r>
      <w:r w:rsidRPr="00627978">
        <w:rPr>
          <w:lang w:val="cs-CZ"/>
        </w:rPr>
        <w:tab/>
        <w:t>Transferová strategie produktu. Závazný projektový plán vytvořený na začátku projektu a schválený Radou v prvním kvartále. Může být revidován v průběhu.</w:t>
      </w:r>
      <w:r w:rsidR="00E65C97">
        <w:rPr>
          <w:lang w:val="cs-CZ"/>
        </w:rPr>
        <w:t xml:space="preserve"> Tato strategie zahrnuje fáze </w:t>
      </w:r>
      <w:proofErr w:type="spellStart"/>
      <w:r w:rsidR="00E65C97">
        <w:rPr>
          <w:lang w:val="cs-CZ"/>
        </w:rPr>
        <w:t>PoM</w:t>
      </w:r>
      <w:proofErr w:type="spellEnd"/>
      <w:r w:rsidR="00E65C97">
        <w:rPr>
          <w:lang w:val="cs-CZ"/>
        </w:rPr>
        <w:t xml:space="preserve">, </w:t>
      </w:r>
      <w:proofErr w:type="spellStart"/>
      <w:r w:rsidR="00E65C97">
        <w:rPr>
          <w:lang w:val="cs-CZ"/>
        </w:rPr>
        <w:t>PoC</w:t>
      </w:r>
      <w:proofErr w:type="spellEnd"/>
      <w:r w:rsidR="00E65C97">
        <w:rPr>
          <w:lang w:val="cs-CZ"/>
        </w:rPr>
        <w:t xml:space="preserve"> a </w:t>
      </w:r>
      <w:proofErr w:type="spellStart"/>
      <w:r w:rsidR="00E65C97">
        <w:rPr>
          <w:lang w:val="cs-CZ"/>
        </w:rPr>
        <w:t>PoD.</w:t>
      </w:r>
      <w:proofErr w:type="spellEnd"/>
    </w:p>
    <w:p w14:paraId="66C53C1F" w14:textId="73876EE2" w:rsidR="00627978" w:rsidRPr="00627978" w:rsidRDefault="00627978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r w:rsidRPr="00627978">
        <w:rPr>
          <w:lang w:val="cs-CZ"/>
        </w:rPr>
        <w:t>Rada</w:t>
      </w:r>
      <w:r w:rsidR="208FFBAB" w:rsidRPr="00627978">
        <w:rPr>
          <w:lang w:val="cs-CZ"/>
        </w:rPr>
        <w:t xml:space="preserve"> - </w:t>
      </w:r>
      <w:r w:rsidRPr="00627978">
        <w:rPr>
          <w:lang w:val="cs-CZ"/>
        </w:rPr>
        <w:tab/>
        <w:t xml:space="preserve">Rada pro komercializaci dle </w:t>
      </w:r>
      <w:r w:rsidR="00175CE6">
        <w:rPr>
          <w:lang w:val="cs-CZ"/>
        </w:rPr>
        <w:t>Rozhodnutí</w:t>
      </w:r>
    </w:p>
    <w:p w14:paraId="66C53C20" w14:textId="71B5E604" w:rsidR="00627978" w:rsidRPr="00AA7D22" w:rsidRDefault="00175CE6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r w:rsidRPr="00AA7D22">
        <w:rPr>
          <w:lang w:val="cs-CZ"/>
        </w:rPr>
        <w:t>Rozhodnutí</w:t>
      </w:r>
      <w:r w:rsidR="00627978" w:rsidRPr="00AA7D22">
        <w:rPr>
          <w:lang w:val="cs-CZ"/>
        </w:rPr>
        <w:t xml:space="preserve"> </w:t>
      </w:r>
      <w:r w:rsidR="00627978" w:rsidRPr="00AA7D22">
        <w:rPr>
          <w:lang w:val="cs-CZ"/>
        </w:rPr>
        <w:tab/>
      </w:r>
      <w:proofErr w:type="spellStart"/>
      <w:r w:rsidRPr="00AA7D22">
        <w:rPr>
          <w:lang w:val="cs-CZ"/>
        </w:rPr>
        <w:t>Rozhodnutí</w:t>
      </w:r>
      <w:proofErr w:type="spellEnd"/>
      <w:r w:rsidRPr="00AA7D22">
        <w:rPr>
          <w:lang w:val="cs-CZ"/>
        </w:rPr>
        <w:t xml:space="preserve"> rektora </w:t>
      </w:r>
      <w:r w:rsidR="00627978" w:rsidRPr="00AA7D22">
        <w:rPr>
          <w:lang w:val="cs-CZ"/>
        </w:rPr>
        <w:t xml:space="preserve">UP B3-14/7-RR a </w:t>
      </w:r>
      <w:r w:rsidR="00E65C97" w:rsidRPr="00AA7D22">
        <w:rPr>
          <w:lang w:val="cs-CZ"/>
        </w:rPr>
        <w:t>metodika k němu</w:t>
      </w:r>
    </w:p>
    <w:p w14:paraId="5729DD78" w14:textId="3AC5AD33" w:rsidR="00236620" w:rsidRPr="00AA7D22" w:rsidRDefault="00236620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proofErr w:type="spellStart"/>
      <w:r w:rsidRPr="00AA7D22">
        <w:rPr>
          <w:lang w:val="cs-CZ"/>
        </w:rPr>
        <w:t>PoM</w:t>
      </w:r>
      <w:proofErr w:type="spellEnd"/>
      <w:r w:rsidR="6F12284C" w:rsidRPr="00AA7D22">
        <w:rPr>
          <w:lang w:val="cs-CZ"/>
        </w:rPr>
        <w:t xml:space="preserve"> - </w:t>
      </w:r>
      <w:r w:rsidRPr="00AA7D22">
        <w:rPr>
          <w:lang w:val="cs-CZ"/>
        </w:rPr>
        <w:tab/>
      </w:r>
      <w:proofErr w:type="spellStart"/>
      <w:r w:rsidRPr="00AA7D22">
        <w:rPr>
          <w:lang w:val="cs-CZ"/>
        </w:rPr>
        <w:t>Proof</w:t>
      </w:r>
      <w:proofErr w:type="spellEnd"/>
      <w:r w:rsidRPr="00AA7D22">
        <w:rPr>
          <w:lang w:val="cs-CZ"/>
        </w:rPr>
        <w:t>-</w:t>
      </w:r>
      <w:proofErr w:type="spellStart"/>
      <w:r w:rsidRPr="00AA7D22">
        <w:rPr>
          <w:lang w:val="cs-CZ"/>
        </w:rPr>
        <w:t>of</w:t>
      </w:r>
      <w:proofErr w:type="spellEnd"/>
      <w:r w:rsidRPr="00AA7D22">
        <w:rPr>
          <w:lang w:val="cs-CZ"/>
        </w:rPr>
        <w:t xml:space="preserve">-Market – Ověření existence a požadavků trhu na výstupy </w:t>
      </w:r>
      <w:proofErr w:type="spellStart"/>
      <w:r w:rsidRPr="00AA7D22">
        <w:rPr>
          <w:lang w:val="cs-CZ"/>
        </w:rPr>
        <w:t>PoC</w:t>
      </w:r>
      <w:proofErr w:type="spellEnd"/>
      <w:r w:rsidRPr="00AA7D22">
        <w:rPr>
          <w:lang w:val="cs-CZ"/>
        </w:rPr>
        <w:t>.</w:t>
      </w:r>
    </w:p>
    <w:p w14:paraId="66C53C21" w14:textId="1B0118AD" w:rsidR="00627978" w:rsidRPr="00AA7D22" w:rsidRDefault="00627978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proofErr w:type="spellStart"/>
      <w:r w:rsidRPr="00AA7D22">
        <w:rPr>
          <w:lang w:val="cs-CZ"/>
        </w:rPr>
        <w:t>PoC</w:t>
      </w:r>
      <w:proofErr w:type="spellEnd"/>
      <w:r w:rsidRPr="00AA7D22">
        <w:rPr>
          <w:lang w:val="cs-CZ"/>
        </w:rPr>
        <w:tab/>
      </w:r>
      <w:proofErr w:type="spellStart"/>
      <w:r w:rsidRPr="00AA7D22">
        <w:rPr>
          <w:lang w:val="cs-CZ"/>
        </w:rPr>
        <w:t>Proof-of-Concept</w:t>
      </w:r>
      <w:proofErr w:type="spellEnd"/>
      <w:r w:rsidRPr="00AA7D22">
        <w:rPr>
          <w:lang w:val="cs-CZ"/>
        </w:rPr>
        <w:t xml:space="preserve"> projekty</w:t>
      </w:r>
    </w:p>
    <w:p w14:paraId="0B2DA8E3" w14:textId="05293483" w:rsidR="00E65C97" w:rsidRPr="00AA7D22" w:rsidRDefault="00E65C97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proofErr w:type="spellStart"/>
      <w:r w:rsidRPr="00AA7D22">
        <w:rPr>
          <w:lang w:val="cs-CZ"/>
        </w:rPr>
        <w:t>PoD</w:t>
      </w:r>
      <w:proofErr w:type="spellEnd"/>
      <w:r w:rsidR="08BAFD72" w:rsidRPr="00AA7D22">
        <w:rPr>
          <w:lang w:val="cs-CZ"/>
        </w:rPr>
        <w:t xml:space="preserve"> - </w:t>
      </w:r>
      <w:r w:rsidRPr="00AA7D22">
        <w:rPr>
          <w:lang w:val="cs-CZ"/>
        </w:rPr>
        <w:tab/>
      </w:r>
      <w:proofErr w:type="spellStart"/>
      <w:r w:rsidRPr="00AA7D22">
        <w:rPr>
          <w:lang w:val="cs-CZ"/>
        </w:rPr>
        <w:t>Proof-of-Delivery</w:t>
      </w:r>
      <w:proofErr w:type="spellEnd"/>
      <w:r w:rsidRPr="00AA7D22">
        <w:rPr>
          <w:lang w:val="cs-CZ"/>
        </w:rPr>
        <w:t xml:space="preserve"> – </w:t>
      </w:r>
      <w:r w:rsidR="00236620" w:rsidRPr="00AA7D22">
        <w:rPr>
          <w:lang w:val="cs-CZ"/>
        </w:rPr>
        <w:t xml:space="preserve">Nastavení pravidel komercializace a souhrn informací o produktech/výstupech </w:t>
      </w:r>
      <w:proofErr w:type="spellStart"/>
      <w:r w:rsidR="00236620" w:rsidRPr="00AA7D22">
        <w:rPr>
          <w:lang w:val="cs-CZ"/>
        </w:rPr>
        <w:t>PoC</w:t>
      </w:r>
      <w:proofErr w:type="spellEnd"/>
      <w:r w:rsidR="00236620" w:rsidRPr="00AA7D22">
        <w:rPr>
          <w:lang w:val="cs-CZ"/>
        </w:rPr>
        <w:t xml:space="preserve"> fáze.</w:t>
      </w:r>
      <w:r w:rsidRPr="00AA7D22">
        <w:rPr>
          <w:lang w:val="cs-CZ"/>
        </w:rPr>
        <w:t xml:space="preserve">    </w:t>
      </w:r>
    </w:p>
    <w:p w14:paraId="66C53C22" w14:textId="77777777" w:rsidR="00627978" w:rsidRPr="00627978" w:rsidRDefault="00627978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proofErr w:type="spellStart"/>
      <w:r w:rsidRPr="00627978">
        <w:rPr>
          <w:lang w:val="cs-CZ"/>
        </w:rPr>
        <w:t>VaV</w:t>
      </w:r>
      <w:proofErr w:type="spellEnd"/>
      <w:r w:rsidRPr="00627978">
        <w:rPr>
          <w:lang w:val="cs-CZ"/>
        </w:rPr>
        <w:t xml:space="preserve"> </w:t>
      </w:r>
      <w:r w:rsidRPr="00627978">
        <w:rPr>
          <w:lang w:val="cs-CZ"/>
        </w:rPr>
        <w:tab/>
        <w:t>Věda a výzkum</w:t>
      </w:r>
    </w:p>
    <w:p w14:paraId="66C53C23" w14:textId="5516ADCB" w:rsidR="00627978" w:rsidRDefault="00627978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r w:rsidRPr="00627978">
        <w:rPr>
          <w:lang w:val="cs-CZ"/>
        </w:rPr>
        <w:t>TA ČR</w:t>
      </w:r>
      <w:r w:rsidRPr="00627978">
        <w:rPr>
          <w:lang w:val="cs-CZ"/>
        </w:rPr>
        <w:tab/>
        <w:t>Technologická agentura České republiky</w:t>
      </w:r>
    </w:p>
    <w:p w14:paraId="62163A02" w14:textId="0E7C76D0" w:rsidR="00236620" w:rsidRDefault="001856F8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r>
        <w:rPr>
          <w:lang w:val="cs-CZ"/>
        </w:rPr>
        <w:t>SIGMA</w:t>
      </w:r>
      <w:r w:rsidR="00236620">
        <w:rPr>
          <w:lang w:val="cs-CZ"/>
        </w:rPr>
        <w:tab/>
        <w:t>P</w:t>
      </w:r>
      <w:r w:rsidR="00236620" w:rsidRPr="00236620">
        <w:rPr>
          <w:lang w:val="cs-CZ"/>
        </w:rPr>
        <w:t xml:space="preserve">rojekt </w:t>
      </w:r>
      <w:r>
        <w:rPr>
          <w:lang w:val="cs-CZ"/>
        </w:rPr>
        <w:t>SIGMA</w:t>
      </w:r>
      <w:r w:rsidR="00236620" w:rsidRPr="00236620">
        <w:rPr>
          <w:lang w:val="cs-CZ"/>
        </w:rPr>
        <w:t xml:space="preserve">/TAČR č. </w:t>
      </w:r>
      <w:r w:rsidR="00236620" w:rsidRPr="16857FD7">
        <w:rPr>
          <w:b/>
          <w:bCs/>
          <w:lang w:val="cs-CZ"/>
        </w:rPr>
        <w:t>T</w:t>
      </w:r>
      <w:r>
        <w:rPr>
          <w:b/>
          <w:bCs/>
          <w:lang w:val="cs-CZ"/>
        </w:rPr>
        <w:t>Q11000029</w:t>
      </w:r>
      <w:r w:rsidR="00236620" w:rsidRPr="00236620">
        <w:rPr>
          <w:lang w:val="cs-CZ"/>
        </w:rPr>
        <w:t xml:space="preserve"> pod názvem „</w:t>
      </w:r>
      <w:proofErr w:type="spellStart"/>
      <w:r>
        <w:rPr>
          <w:lang w:val="cs-CZ"/>
        </w:rPr>
        <w:t>PoC</w:t>
      </w:r>
      <w:proofErr w:type="spellEnd"/>
      <w:r>
        <w:rPr>
          <w:lang w:val="cs-CZ"/>
        </w:rPr>
        <w:t xml:space="preserve"> jako nástroj ověřená uplatnění výsledků </w:t>
      </w:r>
      <w:proofErr w:type="spellStart"/>
      <w:r>
        <w:rPr>
          <w:lang w:val="cs-CZ"/>
        </w:rPr>
        <w:t>VaV</w:t>
      </w:r>
      <w:proofErr w:type="spellEnd"/>
      <w:r>
        <w:rPr>
          <w:lang w:val="cs-CZ"/>
        </w:rPr>
        <w:t xml:space="preserve"> v praxi</w:t>
      </w:r>
      <w:r w:rsidR="00236620" w:rsidRPr="00236620">
        <w:rPr>
          <w:lang w:val="cs-CZ"/>
        </w:rPr>
        <w:t>“.</w:t>
      </w:r>
    </w:p>
    <w:p w14:paraId="75560C96" w14:textId="50C26204" w:rsidR="0026024D" w:rsidRPr="0026024D" w:rsidRDefault="0026024D" w:rsidP="16857FD7">
      <w:pPr>
        <w:numPr>
          <w:ilvl w:val="0"/>
          <w:numId w:val="8"/>
        </w:numPr>
        <w:tabs>
          <w:tab w:val="left" w:pos="284"/>
        </w:tabs>
        <w:spacing w:line="240" w:lineRule="auto"/>
        <w:ind w:left="1418" w:hanging="1418"/>
        <w:contextualSpacing/>
        <w:jc w:val="both"/>
        <w:rPr>
          <w:lang w:val="cs-CZ"/>
        </w:rPr>
      </w:pPr>
      <w:r>
        <w:rPr>
          <w:lang w:val="cs-CZ"/>
        </w:rPr>
        <w:t>VTP UP</w:t>
      </w:r>
      <w:r w:rsidR="0CF22293">
        <w:rPr>
          <w:lang w:val="cs-CZ"/>
        </w:rPr>
        <w:t xml:space="preserve"> </w:t>
      </w:r>
      <w:r>
        <w:rPr>
          <w:lang w:val="cs-CZ"/>
        </w:rPr>
        <w:tab/>
        <w:t>Vědeckotechnický park univerzity Palackého v Olomouci</w:t>
      </w:r>
    </w:p>
    <w:p w14:paraId="66C53C24" w14:textId="77777777" w:rsidR="00627978" w:rsidRPr="009A78FA" w:rsidRDefault="00627978" w:rsidP="00236620">
      <w:pPr>
        <w:keepNext/>
        <w:keepLines/>
        <w:spacing w:before="480" w:after="0" w:line="240" w:lineRule="auto"/>
        <w:ind w:left="432" w:hanging="432"/>
        <w:outlineLvl w:val="0"/>
        <w:rPr>
          <w:rFonts w:eastAsiaTheme="majorEastAsia"/>
          <w:b/>
          <w:bCs/>
          <w:color w:val="0095D9"/>
          <w:sz w:val="28"/>
          <w:szCs w:val="28"/>
          <w:lang w:val="cs-CZ"/>
        </w:rPr>
      </w:pPr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 xml:space="preserve">Řešení projektů </w:t>
      </w:r>
      <w:proofErr w:type="spellStart"/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>PoC</w:t>
      </w:r>
      <w:proofErr w:type="spellEnd"/>
    </w:p>
    <w:p w14:paraId="66C53C25" w14:textId="77777777" w:rsidR="00627978" w:rsidRPr="00627978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627978">
        <w:rPr>
          <w:lang w:val="cs-CZ"/>
        </w:rPr>
        <w:t xml:space="preserve">Veškeré činnosti prováděné na projektu musí vést </w:t>
      </w:r>
      <w:r w:rsidRPr="00627978">
        <w:rPr>
          <w:b/>
          <w:lang w:val="cs-CZ"/>
        </w:rPr>
        <w:t>ke komercializaci řešení</w:t>
      </w:r>
      <w:r w:rsidRPr="00627978">
        <w:rPr>
          <w:b/>
          <w:vertAlign w:val="superscript"/>
          <w:lang w:val="cs-CZ"/>
        </w:rPr>
        <w:footnoteReference w:id="1"/>
      </w:r>
      <w:r w:rsidRPr="00627978">
        <w:rPr>
          <w:lang w:val="cs-CZ"/>
        </w:rPr>
        <w:t xml:space="preserve">. </w:t>
      </w:r>
    </w:p>
    <w:p w14:paraId="66C53C26" w14:textId="6F045931" w:rsidR="00627978" w:rsidRPr="00AA7D22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Cílem aktivit musí být </w:t>
      </w:r>
      <w:r w:rsidRPr="00AA7D22">
        <w:rPr>
          <w:b/>
          <w:lang w:val="cs-CZ"/>
        </w:rPr>
        <w:t>zvýšení uplatnitelnosti výsledků</w:t>
      </w:r>
      <w:r w:rsidRPr="00AA7D22">
        <w:rPr>
          <w:lang w:val="cs-CZ"/>
        </w:rPr>
        <w:t xml:space="preserve"> </w:t>
      </w:r>
      <w:proofErr w:type="spellStart"/>
      <w:r w:rsidRPr="00AA7D22">
        <w:rPr>
          <w:lang w:val="cs-CZ"/>
        </w:rPr>
        <w:t>VaV</w:t>
      </w:r>
      <w:proofErr w:type="spellEnd"/>
      <w:r w:rsidRPr="00AA7D22">
        <w:rPr>
          <w:lang w:val="cs-CZ"/>
        </w:rPr>
        <w:t xml:space="preserve"> v aplikační sféře. </w:t>
      </w:r>
    </w:p>
    <w:p w14:paraId="14DE9EEB" w14:textId="71284AA3" w:rsidR="0018426B" w:rsidRPr="00AA7D22" w:rsidRDefault="0018426B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Pro podpoření bodů a) a b) jsou nedílnou součástí </w:t>
      </w:r>
      <w:proofErr w:type="spellStart"/>
      <w:r w:rsidRPr="00AA7D22">
        <w:rPr>
          <w:lang w:val="cs-CZ"/>
        </w:rPr>
        <w:t>PoC</w:t>
      </w:r>
      <w:proofErr w:type="spellEnd"/>
      <w:r w:rsidRPr="00AA7D22">
        <w:rPr>
          <w:lang w:val="cs-CZ"/>
        </w:rPr>
        <w:t xml:space="preserve"> projektů fáze </w:t>
      </w:r>
      <w:proofErr w:type="spellStart"/>
      <w:r w:rsidRPr="00AA7D22">
        <w:rPr>
          <w:lang w:val="cs-CZ"/>
        </w:rPr>
        <w:t>PoM</w:t>
      </w:r>
      <w:proofErr w:type="spellEnd"/>
      <w:r w:rsidRPr="00AA7D22">
        <w:rPr>
          <w:lang w:val="cs-CZ"/>
        </w:rPr>
        <w:t xml:space="preserve"> </w:t>
      </w:r>
      <w:r w:rsidR="0026024D" w:rsidRPr="00AA7D22">
        <w:rPr>
          <w:lang w:val="cs-CZ"/>
        </w:rPr>
        <w:t xml:space="preserve">a </w:t>
      </w:r>
      <w:proofErr w:type="spellStart"/>
      <w:r w:rsidRPr="00AA7D22">
        <w:rPr>
          <w:lang w:val="cs-CZ"/>
        </w:rPr>
        <w:t>PoD.</w:t>
      </w:r>
      <w:proofErr w:type="spellEnd"/>
      <w:r w:rsidR="0026024D" w:rsidRPr="00AA7D22">
        <w:rPr>
          <w:lang w:val="cs-CZ"/>
        </w:rPr>
        <w:t xml:space="preserve"> O dobu potřebnou na tyto dvě etapy se prodlužuje doba nutná k řešení dílčího </w:t>
      </w:r>
      <w:proofErr w:type="spellStart"/>
      <w:r w:rsidR="0026024D" w:rsidRPr="00AA7D22">
        <w:rPr>
          <w:lang w:val="cs-CZ"/>
        </w:rPr>
        <w:t>PoC</w:t>
      </w:r>
      <w:proofErr w:type="spellEnd"/>
      <w:r w:rsidR="0026024D" w:rsidRPr="00AA7D22">
        <w:rPr>
          <w:lang w:val="cs-CZ"/>
        </w:rPr>
        <w:t xml:space="preserve"> projektu.</w:t>
      </w:r>
    </w:p>
    <w:p w14:paraId="66C53C28" w14:textId="3231BF77" w:rsidR="00627978" w:rsidRPr="00627978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627978">
        <w:rPr>
          <w:lang w:val="cs-CZ"/>
        </w:rPr>
        <w:t xml:space="preserve">Závazným plánem </w:t>
      </w:r>
      <w:r w:rsidR="0018426B">
        <w:rPr>
          <w:lang w:val="cs-CZ"/>
        </w:rPr>
        <w:t xml:space="preserve">dílčího </w:t>
      </w:r>
      <w:r w:rsidRPr="00627978">
        <w:rPr>
          <w:lang w:val="cs-CZ"/>
        </w:rPr>
        <w:t>projektu je TSP</w:t>
      </w:r>
      <w:r w:rsidRPr="00627978">
        <w:rPr>
          <w:vertAlign w:val="superscript"/>
          <w:lang w:val="cs-CZ"/>
        </w:rPr>
        <w:footnoteReference w:id="2"/>
      </w:r>
      <w:r w:rsidRPr="00627978">
        <w:rPr>
          <w:lang w:val="cs-CZ"/>
        </w:rPr>
        <w:t xml:space="preserve"> a projekt musí být podle TSP realizován.</w:t>
      </w:r>
    </w:p>
    <w:p w14:paraId="66C53C29" w14:textId="3AC9CE7C" w:rsidR="00627978" w:rsidRPr="00627978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627978">
        <w:rPr>
          <w:lang w:val="cs-CZ"/>
        </w:rPr>
        <w:t>Projekty jsou řešeny v souladu s</w:t>
      </w:r>
      <w:r w:rsidR="00175CE6">
        <w:rPr>
          <w:lang w:val="cs-CZ"/>
        </w:rPr>
        <w:t xml:space="preserve"> Rozhodnutím</w:t>
      </w:r>
      <w:r w:rsidRPr="00627978">
        <w:rPr>
          <w:lang w:val="cs-CZ"/>
        </w:rPr>
        <w:t xml:space="preserve">. Pokud jsou financovány z výzvy TA ČR </w:t>
      </w:r>
      <w:r w:rsidR="00D83BE5">
        <w:rPr>
          <w:lang w:val="cs-CZ"/>
        </w:rPr>
        <w:t>SIGMA</w:t>
      </w:r>
      <w:r w:rsidRPr="00627978">
        <w:rPr>
          <w:lang w:val="cs-CZ"/>
        </w:rPr>
        <w:t>, odpovídá řešení i jejím podmínkám a požadavkům.</w:t>
      </w:r>
    </w:p>
    <w:p w14:paraId="66C53C2A" w14:textId="6B455762" w:rsidR="00627978" w:rsidRPr="00627978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16857FD7">
        <w:rPr>
          <w:lang w:val="cs-CZ"/>
        </w:rPr>
        <w:t xml:space="preserve">Hlavní odpovědnost za řešení jednotlivých projektů má Vedoucí daného </w:t>
      </w:r>
      <w:r w:rsidR="14A7BA54" w:rsidRPr="16857FD7">
        <w:rPr>
          <w:lang w:val="cs-CZ"/>
        </w:rPr>
        <w:t>dílčího</w:t>
      </w:r>
      <w:r w:rsidR="4D7B047B" w:rsidRPr="16857FD7">
        <w:rPr>
          <w:lang w:val="cs-CZ"/>
        </w:rPr>
        <w:t xml:space="preserve"> </w:t>
      </w:r>
      <w:r w:rsidRPr="16857FD7">
        <w:rPr>
          <w:lang w:val="cs-CZ"/>
        </w:rPr>
        <w:t>projektu. Ten odpovídá také za komunikaci s poskytovatelem (VTP UP) a reporting pro Radu.</w:t>
      </w:r>
    </w:p>
    <w:p w14:paraId="66C53C2B" w14:textId="2AF894D4" w:rsidR="00627978" w:rsidRPr="00627978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627978">
        <w:rPr>
          <w:lang w:val="cs-CZ"/>
        </w:rPr>
        <w:lastRenderedPageBreak/>
        <w:t xml:space="preserve">Týmy projektu se scházejí dle potřeby či minimálně jedenkrát za kvartál. Týmy projektu připravují kvartální </w:t>
      </w:r>
      <w:r w:rsidR="00236620">
        <w:rPr>
          <w:lang w:val="cs-CZ"/>
        </w:rPr>
        <w:t xml:space="preserve">a závěrečný </w:t>
      </w:r>
      <w:r w:rsidRPr="00627978">
        <w:rPr>
          <w:lang w:val="cs-CZ"/>
        </w:rPr>
        <w:t>reporting pro Radu.</w:t>
      </w:r>
    </w:p>
    <w:p w14:paraId="66C53C2C" w14:textId="77777777" w:rsidR="00627978" w:rsidRPr="009A78FA" w:rsidRDefault="00627978" w:rsidP="00236620">
      <w:pPr>
        <w:keepNext/>
        <w:keepLines/>
        <w:spacing w:before="480" w:after="0" w:line="240" w:lineRule="auto"/>
        <w:ind w:left="432" w:hanging="432"/>
        <w:jc w:val="both"/>
        <w:outlineLvl w:val="0"/>
        <w:rPr>
          <w:rFonts w:eastAsiaTheme="majorEastAsia"/>
          <w:b/>
          <w:bCs/>
          <w:color w:val="0095D9"/>
          <w:sz w:val="28"/>
          <w:szCs w:val="28"/>
          <w:lang w:val="cs-CZ"/>
        </w:rPr>
      </w:pPr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 xml:space="preserve">Čerpání financí na projektu </w:t>
      </w:r>
      <w:proofErr w:type="spellStart"/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>PoC</w:t>
      </w:r>
      <w:proofErr w:type="spellEnd"/>
    </w:p>
    <w:p w14:paraId="717CAABA" w14:textId="31017E12" w:rsidR="0026024D" w:rsidRDefault="0026024D" w:rsidP="0026024D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627978">
        <w:rPr>
          <w:lang w:val="cs-CZ"/>
        </w:rPr>
        <w:t xml:space="preserve">Na každý projekt vytvoří VTP UP samostatný SPP prvek. Čerpání pro každý dílčí projekt je prováděno pod tímto SPP prvkem a veškeré projektové výdaje musí být evidovány tímto SPP </w:t>
      </w:r>
      <w:r w:rsidRPr="00AA7D22">
        <w:rPr>
          <w:lang w:val="cs-CZ"/>
        </w:rPr>
        <w:t>prvkem. Zboží či služ</w:t>
      </w:r>
      <w:r w:rsidR="00D83BE5">
        <w:rPr>
          <w:lang w:val="cs-CZ"/>
        </w:rPr>
        <w:t>by jsou nakupovány přes VTP UP.</w:t>
      </w:r>
    </w:p>
    <w:p w14:paraId="214E4886" w14:textId="75385868" w:rsidR="00D83BE5" w:rsidRPr="00AA7D22" w:rsidRDefault="00D83BE5" w:rsidP="0026024D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>
        <w:rPr>
          <w:lang w:val="cs-CZ"/>
        </w:rPr>
        <w:t>Dotace na projekt je 80 %, kofinancování 20 % hradí příslušné pracoviště řešitele z vlastních zdrojů.</w:t>
      </w:r>
    </w:p>
    <w:p w14:paraId="133D30D1" w14:textId="40D95FD0" w:rsidR="0026024D" w:rsidRPr="00AA7D22" w:rsidRDefault="0026024D" w:rsidP="00433A41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>Schvalování objednávek provádí odpovědná osoba dílčího projektu za VT</w:t>
      </w:r>
      <w:r w:rsidR="00D83BE5">
        <w:rPr>
          <w:lang w:val="cs-CZ"/>
        </w:rPr>
        <w:t>P a hlavní řešitel projektu SIGMA</w:t>
      </w:r>
      <w:r w:rsidRPr="00AA7D22">
        <w:rPr>
          <w:lang w:val="cs-CZ"/>
        </w:rPr>
        <w:t>. Objednávka se provádí na formuláři Schvalování objednávek u projektů Proof-of-Concept.doc, který zašle hlavní řešitel dílčího projektu nebo jím pověřená osoba na e-mail odpovědn</w:t>
      </w:r>
      <w:r w:rsidR="00433A41" w:rsidRPr="00AA7D22">
        <w:rPr>
          <w:lang w:val="cs-CZ"/>
        </w:rPr>
        <w:t>é</w:t>
      </w:r>
      <w:r w:rsidRPr="00AA7D22">
        <w:rPr>
          <w:lang w:val="cs-CZ"/>
        </w:rPr>
        <w:t xml:space="preserve"> osob</w:t>
      </w:r>
      <w:r w:rsidR="00433A41" w:rsidRPr="00AA7D22">
        <w:rPr>
          <w:lang w:val="cs-CZ"/>
        </w:rPr>
        <w:t>y</w:t>
      </w:r>
      <w:r w:rsidRPr="00AA7D22">
        <w:rPr>
          <w:lang w:val="cs-CZ"/>
        </w:rPr>
        <w:t xml:space="preserve"> dílčího projektu za VTP</w:t>
      </w:r>
      <w:r w:rsidR="00433A41" w:rsidRPr="00AA7D22">
        <w:rPr>
          <w:lang w:val="cs-CZ"/>
        </w:rPr>
        <w:t xml:space="preserve">, který </w:t>
      </w:r>
      <w:r w:rsidR="00F72692" w:rsidRPr="00AA7D22">
        <w:rPr>
          <w:lang w:val="cs-CZ"/>
        </w:rPr>
        <w:t xml:space="preserve">jí po schválení </w:t>
      </w:r>
      <w:r w:rsidR="00433A41" w:rsidRPr="00AA7D22">
        <w:rPr>
          <w:lang w:val="cs-CZ"/>
        </w:rPr>
        <w:t xml:space="preserve">zpracuje v systému UPOL. </w:t>
      </w:r>
    </w:p>
    <w:p w14:paraId="59A93FD4" w14:textId="27FBB591" w:rsidR="00F72692" w:rsidRPr="00AA7D22" w:rsidRDefault="00F72692" w:rsidP="00433A41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>U objednávek, jejichž hodnota přesahuje částku 39 000 Kč s DPH, je vždy nutné doložit další dvě cenové nabídky (stačí e-mailové nebo kopie internetových stránek).</w:t>
      </w:r>
    </w:p>
    <w:p w14:paraId="3FF16C72" w14:textId="2BAE8653" w:rsidR="00F72692" w:rsidRPr="00AA7D22" w:rsidRDefault="00F72692" w:rsidP="00433A41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>DPH není u dílčích projektů odpočitatelnou položkou (uvádějte vždy cenu s DPH).</w:t>
      </w:r>
    </w:p>
    <w:p w14:paraId="66C53C2D" w14:textId="38C1B4AC" w:rsidR="00627978" w:rsidRPr="00AA7D22" w:rsidRDefault="00627978" w:rsidP="00236620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Je povoleno čerpat rozpočet </w:t>
      </w:r>
      <w:r w:rsidR="00236620" w:rsidRPr="00AA7D22">
        <w:rPr>
          <w:lang w:val="cs-CZ"/>
        </w:rPr>
        <w:t xml:space="preserve">pouze </w:t>
      </w:r>
      <w:r w:rsidRPr="00AA7D22">
        <w:rPr>
          <w:lang w:val="cs-CZ"/>
        </w:rPr>
        <w:t xml:space="preserve">do výše schválené Radou. </w:t>
      </w:r>
    </w:p>
    <w:p w14:paraId="66C53C2E" w14:textId="5550A085" w:rsidR="00627978" w:rsidRPr="00627978" w:rsidRDefault="00627978" w:rsidP="00236620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>Přesuny mezi etapami či položkami </w:t>
      </w:r>
      <w:r w:rsidRPr="00627978">
        <w:rPr>
          <w:lang w:val="cs-CZ"/>
        </w:rPr>
        <w:t xml:space="preserve">rozpočtu o méně než </w:t>
      </w:r>
      <w:r w:rsidR="00E65C97">
        <w:rPr>
          <w:lang w:val="cs-CZ"/>
        </w:rPr>
        <w:t>5</w:t>
      </w:r>
      <w:r w:rsidRPr="00627978">
        <w:rPr>
          <w:lang w:val="cs-CZ"/>
        </w:rPr>
        <w:t xml:space="preserve"> % celkové výše rozpočtu není třeba schvalovat, pokud neovlivňují celkovou výši rozpočtu.  Přesuny o více než </w:t>
      </w:r>
      <w:r w:rsidR="00E65C97">
        <w:rPr>
          <w:lang w:val="cs-CZ"/>
        </w:rPr>
        <w:t>5</w:t>
      </w:r>
      <w:r w:rsidRPr="00627978">
        <w:rPr>
          <w:lang w:val="cs-CZ"/>
        </w:rPr>
        <w:t xml:space="preserve"> % celkového rozpočtu neovlivňující celkovou výši rozpočtu </w:t>
      </w:r>
      <w:r w:rsidR="00E65C97">
        <w:rPr>
          <w:lang w:val="cs-CZ"/>
        </w:rPr>
        <w:t xml:space="preserve">a navýšení/snížení rozpočtu </w:t>
      </w:r>
      <w:r w:rsidRPr="00627978">
        <w:rPr>
          <w:lang w:val="cs-CZ"/>
        </w:rPr>
        <w:t>schvaluje Rada na základě zdůvodnění.</w:t>
      </w:r>
    </w:p>
    <w:p w14:paraId="66C53C2F" w14:textId="55F00C64" w:rsidR="00627978" w:rsidRPr="00627978" w:rsidRDefault="00627978" w:rsidP="00236620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627978">
        <w:rPr>
          <w:lang w:val="cs-CZ"/>
        </w:rPr>
        <w:t xml:space="preserve">O odmítnutí určitého nákladu rozhoduje </w:t>
      </w:r>
      <w:r w:rsidR="00E65C97">
        <w:rPr>
          <w:lang w:val="cs-CZ"/>
        </w:rPr>
        <w:t>hlavní řešitel projektu</w:t>
      </w:r>
      <w:r w:rsidR="00D83BE5">
        <w:rPr>
          <w:lang w:val="cs-CZ"/>
        </w:rPr>
        <w:t xml:space="preserve"> SIGMA</w:t>
      </w:r>
      <w:r w:rsidRPr="00627978">
        <w:rPr>
          <w:lang w:val="cs-CZ"/>
        </w:rPr>
        <w:t xml:space="preserve">, Rada či poskytovatel </w:t>
      </w:r>
      <w:r w:rsidR="00D83BE5">
        <w:rPr>
          <w:lang w:val="cs-CZ"/>
        </w:rPr>
        <w:t>dotace (TA ČR v rámci výzvy SIGMA</w:t>
      </w:r>
      <w:r w:rsidRPr="00627978">
        <w:rPr>
          <w:lang w:val="cs-CZ"/>
        </w:rPr>
        <w:t>).</w:t>
      </w:r>
    </w:p>
    <w:p w14:paraId="66C53C30" w14:textId="77777777" w:rsidR="00627978" w:rsidRPr="00627978" w:rsidRDefault="00627978" w:rsidP="00236620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236620">
        <w:rPr>
          <w:lang w:val="cs-CZ"/>
        </w:rPr>
        <w:t>Investiční náklady není možné z projektu čerpat</w:t>
      </w:r>
      <w:r w:rsidRPr="00627978">
        <w:rPr>
          <w:lang w:val="cs-CZ"/>
        </w:rPr>
        <w:t>. Náklady na vybavení je možno čerpat, pokud toto vybavení má přímou souvislost s řešením, je nutné pro dosažení výsledků a je při řešení projektu spotřebováno</w:t>
      </w:r>
      <w:r w:rsidRPr="00EC60B0">
        <w:rPr>
          <w:vertAlign w:val="superscript"/>
          <w:lang w:val="cs-CZ"/>
        </w:rPr>
        <w:footnoteReference w:id="3"/>
      </w:r>
      <w:r w:rsidRPr="00627978">
        <w:rPr>
          <w:lang w:val="cs-CZ"/>
        </w:rPr>
        <w:t xml:space="preserve">. </w:t>
      </w:r>
    </w:p>
    <w:p w14:paraId="66C53C31" w14:textId="577E00A8" w:rsidR="00627978" w:rsidRPr="00AA7D22" w:rsidRDefault="00627978" w:rsidP="00236620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16857FD7">
        <w:rPr>
          <w:lang w:val="cs-CZ"/>
        </w:rPr>
        <w:t xml:space="preserve">Jakýkoli náklad, který nesplňuje podmínky </w:t>
      </w:r>
      <w:r w:rsidRPr="00AA7D22">
        <w:rPr>
          <w:lang w:val="cs-CZ"/>
        </w:rPr>
        <w:t xml:space="preserve">uvedené v bodech </w:t>
      </w:r>
      <w:r w:rsidR="00236620" w:rsidRPr="00AA7D22">
        <w:rPr>
          <w:lang w:val="cs-CZ"/>
        </w:rPr>
        <w:t>a) až</w:t>
      </w:r>
      <w:r w:rsidRPr="00AA7D22">
        <w:rPr>
          <w:lang w:val="cs-CZ"/>
        </w:rPr>
        <w:t xml:space="preserve"> </w:t>
      </w:r>
      <w:r w:rsidR="671D6AB5" w:rsidRPr="00AA7D22">
        <w:rPr>
          <w:lang w:val="cs-CZ"/>
        </w:rPr>
        <w:t>h)</w:t>
      </w:r>
      <w:r w:rsidRPr="00AA7D22">
        <w:rPr>
          <w:lang w:val="cs-CZ"/>
        </w:rPr>
        <w:t xml:space="preserve"> není uznatelným nákladem projektu a bude z financování vyloučen. Výjimkou jsou náklady spojené s přípravou Transferové strategie produktu (TSP) a reportingem projektu v nutném rozsahu. </w:t>
      </w:r>
    </w:p>
    <w:p w14:paraId="66C53C32" w14:textId="77777777" w:rsidR="00627978" w:rsidRPr="00627978" w:rsidRDefault="00627978" w:rsidP="00236620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Pokud je projekt ukončen rozhodnutím rady pro komercializaci, ode dne jejího rozhodnutí není možné čerpat projektové finance a nevyčerpaný rozpočet </w:t>
      </w:r>
      <w:r w:rsidRPr="00627978">
        <w:rPr>
          <w:lang w:val="cs-CZ"/>
        </w:rPr>
        <w:t xml:space="preserve">se vrací do financí pro podporu </w:t>
      </w:r>
      <w:proofErr w:type="spellStart"/>
      <w:r w:rsidRPr="00627978">
        <w:rPr>
          <w:lang w:val="cs-CZ"/>
        </w:rPr>
        <w:t>PoC</w:t>
      </w:r>
      <w:proofErr w:type="spellEnd"/>
      <w:r w:rsidRPr="00627978">
        <w:rPr>
          <w:lang w:val="cs-CZ"/>
        </w:rPr>
        <w:t>.</w:t>
      </w:r>
    </w:p>
    <w:p w14:paraId="0D471075" w14:textId="2294B403" w:rsidR="0018426B" w:rsidRPr="009A78FA" w:rsidRDefault="0018426B" w:rsidP="0018426B">
      <w:pPr>
        <w:keepNext/>
        <w:keepLines/>
        <w:spacing w:before="480" w:after="0" w:line="240" w:lineRule="auto"/>
        <w:ind w:left="432" w:hanging="432"/>
        <w:jc w:val="both"/>
        <w:outlineLvl w:val="0"/>
        <w:rPr>
          <w:rFonts w:eastAsiaTheme="majorEastAsia"/>
          <w:b/>
          <w:bCs/>
          <w:color w:val="0095D9"/>
          <w:sz w:val="28"/>
          <w:szCs w:val="28"/>
          <w:lang w:val="cs-CZ"/>
        </w:rPr>
      </w:pPr>
      <w:r>
        <w:rPr>
          <w:rFonts w:eastAsiaTheme="majorEastAsia"/>
          <w:b/>
          <w:bCs/>
          <w:color w:val="0095D9"/>
          <w:sz w:val="28"/>
          <w:szCs w:val="28"/>
          <w:lang w:val="cs-CZ"/>
        </w:rPr>
        <w:t>Udržitelnost dílčích projektů</w:t>
      </w:r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 xml:space="preserve"> </w:t>
      </w:r>
      <w:proofErr w:type="spellStart"/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>PoC</w:t>
      </w:r>
      <w:proofErr w:type="spellEnd"/>
    </w:p>
    <w:p w14:paraId="7A4F03E2" w14:textId="580AEEA1" w:rsidR="0018426B" w:rsidRPr="00AA7D22" w:rsidRDefault="0018426B" w:rsidP="0018426B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>Po úspěšném ukončení řešení dílčího projektu nastává tříletá doba udržitelnosti – doba implementace výsledků. Tato lhůta vychází ze za</w:t>
      </w:r>
      <w:r w:rsidR="00D83BE5">
        <w:rPr>
          <w:lang w:val="cs-CZ"/>
        </w:rPr>
        <w:t>dávací dokumentace projektu SIGMA</w:t>
      </w:r>
      <w:r w:rsidRPr="00AA7D22">
        <w:rPr>
          <w:lang w:val="cs-CZ"/>
        </w:rPr>
        <w:t xml:space="preserve"> TAČR.</w:t>
      </w:r>
    </w:p>
    <w:p w14:paraId="4B08BB6C" w14:textId="14B92A94" w:rsidR="0018426B" w:rsidRPr="00AA7D22" w:rsidRDefault="0018426B" w:rsidP="0018426B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Po tuto dobu bude hlavní řešitel </w:t>
      </w:r>
      <w:r w:rsidR="362ACA15" w:rsidRPr="00AA7D22">
        <w:rPr>
          <w:lang w:val="cs-CZ"/>
        </w:rPr>
        <w:t>poskytovat</w:t>
      </w:r>
      <w:r w:rsidRPr="00AA7D22">
        <w:rPr>
          <w:lang w:val="cs-CZ"/>
        </w:rPr>
        <w:t xml:space="preserve"> týmu VTP UP </w:t>
      </w:r>
      <w:r w:rsidR="267D2D27" w:rsidRPr="00AA7D22">
        <w:rPr>
          <w:lang w:val="cs-CZ"/>
        </w:rPr>
        <w:t>nutnou podporu týkající se</w:t>
      </w:r>
      <w:r w:rsidRPr="00AA7D22">
        <w:rPr>
          <w:lang w:val="cs-CZ"/>
        </w:rPr>
        <w:t xml:space="preserve"> aktivit vedoucí</w:t>
      </w:r>
      <w:r w:rsidR="7EB269CF" w:rsidRPr="00AA7D22">
        <w:rPr>
          <w:lang w:val="cs-CZ"/>
        </w:rPr>
        <w:t>ch</w:t>
      </w:r>
      <w:r w:rsidRPr="00AA7D22">
        <w:rPr>
          <w:lang w:val="cs-CZ"/>
        </w:rPr>
        <w:t xml:space="preserve"> ke komercializaci, smluvnímu výzkumu nebo jinému uvedení </w:t>
      </w:r>
      <w:r w:rsidR="187AB828" w:rsidRPr="00AA7D22">
        <w:rPr>
          <w:lang w:val="cs-CZ"/>
        </w:rPr>
        <w:t xml:space="preserve">výsledků dílčího </w:t>
      </w:r>
      <w:proofErr w:type="spellStart"/>
      <w:r w:rsidR="187AB828" w:rsidRPr="00AA7D22">
        <w:rPr>
          <w:lang w:val="cs-CZ"/>
        </w:rPr>
        <w:t>PoC</w:t>
      </w:r>
      <w:proofErr w:type="spellEnd"/>
      <w:r w:rsidR="187AB828" w:rsidRPr="00AA7D22">
        <w:rPr>
          <w:lang w:val="cs-CZ"/>
        </w:rPr>
        <w:t xml:space="preserve"> projektu </w:t>
      </w:r>
      <w:r w:rsidRPr="00AA7D22">
        <w:rPr>
          <w:lang w:val="cs-CZ"/>
        </w:rPr>
        <w:t xml:space="preserve">na trh. </w:t>
      </w:r>
    </w:p>
    <w:p w14:paraId="1D02BE31" w14:textId="1AD81758" w:rsidR="0018426B" w:rsidRPr="00AA7D22" w:rsidRDefault="0018426B" w:rsidP="0018426B">
      <w:pPr>
        <w:numPr>
          <w:ilvl w:val="0"/>
          <w:numId w:val="9"/>
        </w:numPr>
        <w:spacing w:line="240" w:lineRule="auto"/>
        <w:ind w:left="284" w:hanging="284"/>
        <w:contextualSpacing/>
        <w:jc w:val="both"/>
        <w:rPr>
          <w:lang w:val="cs-CZ"/>
        </w:rPr>
      </w:pPr>
      <w:r w:rsidRPr="00AA7D22">
        <w:rPr>
          <w:lang w:val="cs-CZ"/>
        </w:rPr>
        <w:t>Při ukončení dílčího projektu bude vytvořen Implementační plán, který bude schválen ředitelem VTP, hlavním řešitelem dílčího projektu a jeho přímým nadřízeným.</w:t>
      </w:r>
    </w:p>
    <w:p w14:paraId="6368046E" w14:textId="5324B215" w:rsidR="0A94E4C5" w:rsidRPr="00AA7D22" w:rsidRDefault="0A94E4C5" w:rsidP="16857FD7">
      <w:pPr>
        <w:numPr>
          <w:ilvl w:val="0"/>
          <w:numId w:val="9"/>
        </w:numPr>
        <w:spacing w:line="240" w:lineRule="auto"/>
        <w:ind w:left="284" w:hanging="284"/>
        <w:jc w:val="both"/>
        <w:rPr>
          <w:lang w:val="cs-CZ"/>
        </w:rPr>
      </w:pPr>
      <w:r w:rsidRPr="00AA7D22">
        <w:rPr>
          <w:lang w:val="cs-CZ"/>
        </w:rPr>
        <w:t xml:space="preserve">Udržitelnost dílčího </w:t>
      </w:r>
      <w:proofErr w:type="spellStart"/>
      <w:r w:rsidRPr="00AA7D22">
        <w:rPr>
          <w:lang w:val="cs-CZ"/>
        </w:rPr>
        <w:t>PoC</w:t>
      </w:r>
      <w:proofErr w:type="spellEnd"/>
      <w:r w:rsidRPr="00AA7D22">
        <w:rPr>
          <w:lang w:val="cs-CZ"/>
        </w:rPr>
        <w:t xml:space="preserve"> projektu může být na základě rozhodnutí Rady zkrácena.</w:t>
      </w:r>
    </w:p>
    <w:p w14:paraId="299D66C7" w14:textId="55C2F5E2" w:rsidR="74DD0095" w:rsidRPr="00AA7D22" w:rsidRDefault="74DD0095" w:rsidP="16857FD7">
      <w:pPr>
        <w:numPr>
          <w:ilvl w:val="0"/>
          <w:numId w:val="9"/>
        </w:numPr>
        <w:spacing w:line="240" w:lineRule="auto"/>
        <w:ind w:left="284" w:hanging="284"/>
        <w:jc w:val="both"/>
        <w:rPr>
          <w:lang w:val="cs-CZ"/>
        </w:rPr>
      </w:pPr>
      <w:r w:rsidRPr="00AA7D22">
        <w:rPr>
          <w:lang w:val="cs-CZ"/>
        </w:rPr>
        <w:lastRenderedPageBreak/>
        <w:t>Pokud není dohodnuto jinak, tak n</w:t>
      </w:r>
      <w:r w:rsidR="5E933192" w:rsidRPr="00AA7D22">
        <w:rPr>
          <w:lang w:val="cs-CZ"/>
        </w:rPr>
        <w:t xml:space="preserve">áklady na získání a udržení průmyslových práv po skončení dílčího </w:t>
      </w:r>
      <w:proofErr w:type="spellStart"/>
      <w:r w:rsidR="5E933192" w:rsidRPr="00AA7D22">
        <w:rPr>
          <w:lang w:val="cs-CZ"/>
        </w:rPr>
        <w:t>PoC</w:t>
      </w:r>
      <w:proofErr w:type="spellEnd"/>
      <w:r w:rsidR="5E933192" w:rsidRPr="00AA7D22">
        <w:rPr>
          <w:lang w:val="cs-CZ"/>
        </w:rPr>
        <w:t xml:space="preserve"> projektu jsou hrazeny pracovištěm hlavního řešitele dílčího projektu. </w:t>
      </w:r>
    </w:p>
    <w:p w14:paraId="66C53C34" w14:textId="77777777" w:rsidR="00627978" w:rsidRPr="009A78FA" w:rsidRDefault="00627978" w:rsidP="00236620">
      <w:pPr>
        <w:keepNext/>
        <w:keepLines/>
        <w:spacing w:before="480" w:after="0" w:line="240" w:lineRule="auto"/>
        <w:ind w:left="432" w:hanging="432"/>
        <w:jc w:val="both"/>
        <w:outlineLvl w:val="0"/>
        <w:rPr>
          <w:rFonts w:eastAsiaTheme="majorEastAsia"/>
          <w:b/>
          <w:bCs/>
          <w:color w:val="0095D9"/>
          <w:sz w:val="28"/>
          <w:szCs w:val="28"/>
          <w:lang w:val="cs-CZ"/>
        </w:rPr>
      </w:pPr>
      <w:r w:rsidRPr="009A78FA">
        <w:rPr>
          <w:rFonts w:eastAsiaTheme="majorEastAsia"/>
          <w:b/>
          <w:bCs/>
          <w:color w:val="0095D9"/>
          <w:sz w:val="28"/>
          <w:szCs w:val="28"/>
          <w:lang w:val="cs-CZ"/>
        </w:rPr>
        <w:t>Další ustanovení</w:t>
      </w:r>
    </w:p>
    <w:p w14:paraId="66C53C35" w14:textId="42D71656" w:rsidR="00627978" w:rsidRDefault="00627978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16857FD7">
        <w:rPr>
          <w:lang w:val="cs-CZ"/>
        </w:rPr>
        <w:t>Rozdělení příjmů z komercializace bude provedeno stejným způsobem, jako je definováno ve směrnici</w:t>
      </w:r>
      <w:r w:rsidR="00175CE6" w:rsidRPr="16857FD7">
        <w:rPr>
          <w:lang w:val="cs-CZ"/>
        </w:rPr>
        <w:t xml:space="preserve"> rektora</w:t>
      </w:r>
      <w:r w:rsidRPr="16857FD7">
        <w:rPr>
          <w:lang w:val="cs-CZ"/>
        </w:rPr>
        <w:t xml:space="preserve"> </w:t>
      </w:r>
      <w:r w:rsidR="00E65C97" w:rsidRPr="16857FD7">
        <w:rPr>
          <w:lang w:val="cs-CZ"/>
        </w:rPr>
        <w:t>B3-16/1-SR-ÚZ01</w:t>
      </w:r>
      <w:r w:rsidRPr="16857FD7">
        <w:rPr>
          <w:lang w:val="cs-CZ"/>
        </w:rPr>
        <w:t xml:space="preserve">. Pokud to charakter podpory vyžaduje, může si řešitel a poskytovatel dohodnout jiné podmínky. </w:t>
      </w:r>
    </w:p>
    <w:p w14:paraId="66C53C36" w14:textId="7E7131B2" w:rsidR="00F144C7" w:rsidRPr="00AA7D22" w:rsidRDefault="00EC60B0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16857FD7">
        <w:rPr>
          <w:lang w:val="cs-CZ"/>
        </w:rPr>
        <w:t>Veškerý pořízený nebo vzniklý majetek v rámci dílčího projektu podléhající inventarizaci budu po</w:t>
      </w:r>
      <w:r w:rsidR="0018426B" w:rsidRPr="16857FD7">
        <w:rPr>
          <w:lang w:val="cs-CZ"/>
        </w:rPr>
        <w:t xml:space="preserve"> dobu řešení </w:t>
      </w:r>
      <w:r w:rsidRPr="16857FD7">
        <w:rPr>
          <w:lang w:val="cs-CZ"/>
        </w:rPr>
        <w:t xml:space="preserve">dílčího projektu </w:t>
      </w:r>
      <w:r w:rsidR="0018426B" w:rsidRPr="16857FD7">
        <w:rPr>
          <w:lang w:val="cs-CZ"/>
        </w:rPr>
        <w:t xml:space="preserve">zapůjčen na </w:t>
      </w:r>
      <w:r w:rsidRPr="16857FD7">
        <w:rPr>
          <w:lang w:val="cs-CZ"/>
        </w:rPr>
        <w:t>pracoviště řešitele.</w:t>
      </w:r>
      <w:r w:rsidR="0018426B" w:rsidRPr="16857FD7">
        <w:rPr>
          <w:lang w:val="cs-CZ"/>
        </w:rPr>
        <w:t xml:space="preserve"> O zápůjčce bude </w:t>
      </w:r>
      <w:r w:rsidR="0018426B" w:rsidRPr="00AA7D22">
        <w:rPr>
          <w:lang w:val="cs-CZ"/>
        </w:rPr>
        <w:t>vytvořen předávací protokol.</w:t>
      </w:r>
    </w:p>
    <w:p w14:paraId="578C7871" w14:textId="617499F8" w:rsidR="00F72692" w:rsidRPr="00AA7D22" w:rsidRDefault="00F72692" w:rsidP="00236620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Po ukončení řešení </w:t>
      </w:r>
      <w:proofErr w:type="spellStart"/>
      <w:r w:rsidRPr="00AA7D22">
        <w:rPr>
          <w:lang w:val="cs-CZ"/>
        </w:rPr>
        <w:t>PoC</w:t>
      </w:r>
      <w:proofErr w:type="spellEnd"/>
      <w:r w:rsidRPr="00AA7D22">
        <w:rPr>
          <w:lang w:val="cs-CZ"/>
        </w:rPr>
        <w:t xml:space="preserve"> fáze dílčího projektu, se hlavní řešitel dílčího projektu zavazuje v nejbližším možném termínu zavést výsledky vzniklé při řešení projektu do registru výstupů – RIV a informovat o tom VTP UP.</w:t>
      </w:r>
    </w:p>
    <w:p w14:paraId="00B1F43A" w14:textId="4AE3C2E8" w:rsidR="009D77E6" w:rsidRPr="00AA7D22" w:rsidRDefault="009D77E6" w:rsidP="007D5AC3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00AA7D22">
        <w:rPr>
          <w:lang w:val="cs-CZ"/>
        </w:rPr>
        <w:t xml:space="preserve">V případě vytvoření výsledku, který se uvádí v RIV a zároveň kumulativně splňuje následující podmínky: </w:t>
      </w:r>
      <w:r w:rsidR="5A85213A" w:rsidRPr="00AA7D22">
        <w:rPr>
          <w:lang w:val="cs-CZ"/>
        </w:rPr>
        <w:t>i) P</w:t>
      </w:r>
      <w:r w:rsidRPr="00AA7D22">
        <w:rPr>
          <w:lang w:val="cs-CZ"/>
        </w:rPr>
        <w:t xml:space="preserve">ořizovací cena výsledku je nad 40 000 Kč (jen na pořízení nového výsledku a ne na jeho vývoj) a </w:t>
      </w:r>
      <w:proofErr w:type="spellStart"/>
      <w:r w:rsidR="2993A2B2" w:rsidRPr="00AA7D22">
        <w:rPr>
          <w:lang w:val="cs-CZ"/>
        </w:rPr>
        <w:t>ii</w:t>
      </w:r>
      <w:proofErr w:type="spellEnd"/>
      <w:r w:rsidR="2993A2B2" w:rsidRPr="00AA7D22">
        <w:rPr>
          <w:lang w:val="cs-CZ"/>
        </w:rPr>
        <w:t>) U</w:t>
      </w:r>
      <w:r w:rsidRPr="00AA7D22">
        <w:rPr>
          <w:lang w:val="cs-CZ"/>
        </w:rPr>
        <w:t xml:space="preserve">žitná hodnota výsledku je více jak 1 rok (bude se používat více jak </w:t>
      </w:r>
      <w:r w:rsidR="2D123BC8" w:rsidRPr="00AA7D22">
        <w:rPr>
          <w:lang w:val="cs-CZ"/>
        </w:rPr>
        <w:t xml:space="preserve">1 </w:t>
      </w:r>
      <w:proofErr w:type="gramStart"/>
      <w:r w:rsidRPr="00AA7D22">
        <w:rPr>
          <w:lang w:val="cs-CZ"/>
        </w:rPr>
        <w:t xml:space="preserve">rok) a </w:t>
      </w:r>
      <w:r w:rsidR="22CE132E" w:rsidRPr="00AA7D22">
        <w:rPr>
          <w:lang w:val="cs-CZ"/>
        </w:rPr>
        <w:t xml:space="preserve"> </w:t>
      </w:r>
      <w:proofErr w:type="spellStart"/>
      <w:r w:rsidR="22CE132E" w:rsidRPr="00AA7D22">
        <w:rPr>
          <w:lang w:val="cs-CZ"/>
        </w:rPr>
        <w:t>iii</w:t>
      </w:r>
      <w:proofErr w:type="spellEnd"/>
      <w:proofErr w:type="gramEnd"/>
      <w:r w:rsidR="22CE132E" w:rsidRPr="00AA7D22">
        <w:rPr>
          <w:lang w:val="cs-CZ"/>
        </w:rPr>
        <w:t xml:space="preserve">) </w:t>
      </w:r>
      <w:r w:rsidR="4FC3C3D7" w:rsidRPr="00AA7D22">
        <w:rPr>
          <w:lang w:val="cs-CZ"/>
        </w:rPr>
        <w:t>V</w:t>
      </w:r>
      <w:r w:rsidRPr="00AA7D22">
        <w:rPr>
          <w:lang w:val="cs-CZ"/>
        </w:rPr>
        <w:t xml:space="preserve">ýstup je funkční a využitelný (bude se využívat pro předvádění, výuku, vlastní </w:t>
      </w:r>
      <w:proofErr w:type="spellStart"/>
      <w:r w:rsidRPr="00AA7D22">
        <w:rPr>
          <w:lang w:val="cs-CZ"/>
        </w:rPr>
        <w:t>VaV</w:t>
      </w:r>
      <w:proofErr w:type="spellEnd"/>
      <w:r w:rsidR="4F17E756" w:rsidRPr="00AA7D22">
        <w:rPr>
          <w:lang w:val="cs-CZ"/>
        </w:rPr>
        <w:t>, atd.</w:t>
      </w:r>
      <w:r w:rsidRPr="00AA7D22">
        <w:rPr>
          <w:lang w:val="cs-CZ"/>
        </w:rPr>
        <w:t>)</w:t>
      </w:r>
      <w:r w:rsidR="0727D5C7" w:rsidRPr="00AA7D22">
        <w:rPr>
          <w:lang w:val="cs-CZ"/>
        </w:rPr>
        <w:t xml:space="preserve">, </w:t>
      </w:r>
      <w:r w:rsidRPr="00AA7D22">
        <w:rPr>
          <w:lang w:val="cs-CZ"/>
        </w:rPr>
        <w:t>pak takovýto výstup musí být zaveden do účetnictví UPOL.</w:t>
      </w:r>
      <w:r w:rsidR="45EA17B6" w:rsidRPr="00AA7D22">
        <w:rPr>
          <w:lang w:val="cs-CZ"/>
        </w:rPr>
        <w:t xml:space="preserve"> Za zavedení do </w:t>
      </w:r>
      <w:r w:rsidR="16872E18" w:rsidRPr="00AA7D22">
        <w:rPr>
          <w:lang w:val="cs-CZ"/>
        </w:rPr>
        <w:t xml:space="preserve">systému </w:t>
      </w:r>
      <w:r w:rsidR="45EA17B6" w:rsidRPr="00AA7D22">
        <w:rPr>
          <w:lang w:val="cs-CZ"/>
        </w:rPr>
        <w:t xml:space="preserve">odpovídá hlavní řešitel dílčího projektu </w:t>
      </w:r>
      <w:proofErr w:type="spellStart"/>
      <w:r w:rsidR="45EA17B6" w:rsidRPr="00AA7D22">
        <w:rPr>
          <w:lang w:val="cs-CZ"/>
        </w:rPr>
        <w:t>PoC</w:t>
      </w:r>
      <w:proofErr w:type="spellEnd"/>
      <w:r w:rsidR="45EA17B6" w:rsidRPr="00AA7D22">
        <w:rPr>
          <w:lang w:val="cs-CZ"/>
        </w:rPr>
        <w:t xml:space="preserve"> na s</w:t>
      </w:r>
      <w:r w:rsidR="6583CBB1" w:rsidRPr="00AA7D22">
        <w:rPr>
          <w:lang w:val="cs-CZ"/>
        </w:rPr>
        <w:t>vém pracovišti.</w:t>
      </w:r>
    </w:p>
    <w:p w14:paraId="72EEB2D2" w14:textId="77777777" w:rsidR="0018426B" w:rsidRDefault="0018426B" w:rsidP="0018426B">
      <w:pPr>
        <w:numPr>
          <w:ilvl w:val="0"/>
          <w:numId w:val="9"/>
        </w:numPr>
        <w:spacing w:line="240" w:lineRule="auto"/>
        <w:contextualSpacing/>
        <w:jc w:val="both"/>
        <w:rPr>
          <w:lang w:val="cs-CZ"/>
        </w:rPr>
      </w:pPr>
      <w:r w:rsidRPr="16857FD7">
        <w:rPr>
          <w:lang w:val="cs-CZ"/>
        </w:rPr>
        <w:t>Veškerý pořízený nebo vzniklý majetek v rámci dílčího projektu podléhající inventarizaci budu po ukončení dílčího projektu převeden na pracoviště řešitele.</w:t>
      </w:r>
    </w:p>
    <w:p w14:paraId="1613068B" w14:textId="77777777" w:rsidR="0018426B" w:rsidRPr="00F144C7" w:rsidRDefault="0018426B" w:rsidP="00236620">
      <w:pPr>
        <w:spacing w:line="240" w:lineRule="auto"/>
        <w:contextualSpacing/>
        <w:jc w:val="both"/>
        <w:rPr>
          <w:sz w:val="12"/>
          <w:lang w:val="cs-CZ"/>
        </w:rPr>
      </w:pPr>
    </w:p>
    <w:p w14:paraId="66C53C37" w14:textId="40FB913A" w:rsidR="00627978" w:rsidRPr="00627978" w:rsidRDefault="00627978" w:rsidP="00236620">
      <w:pPr>
        <w:spacing w:line="240" w:lineRule="auto"/>
        <w:jc w:val="both"/>
        <w:rPr>
          <w:lang w:val="cs-CZ"/>
        </w:rPr>
      </w:pPr>
      <w:r w:rsidRPr="00627978">
        <w:rPr>
          <w:lang w:val="cs-CZ"/>
        </w:rPr>
        <w:t>Svým podpisem stvrzuji, že jsem byl seznámen s těmito pravidly a zavazuji se je dodržovat.</w:t>
      </w:r>
    </w:p>
    <w:p w14:paraId="0A1E3507" w14:textId="77777777" w:rsidR="00D04820" w:rsidRDefault="00D04820" w:rsidP="00236620">
      <w:pPr>
        <w:spacing w:line="240" w:lineRule="auto"/>
        <w:rPr>
          <w:lang w:val="cs-CZ"/>
        </w:rPr>
      </w:pPr>
    </w:p>
    <w:p w14:paraId="66C53C38" w14:textId="53BB2529" w:rsidR="004001B9" w:rsidRDefault="00627978" w:rsidP="00236620">
      <w:pPr>
        <w:spacing w:line="240" w:lineRule="auto"/>
        <w:rPr>
          <w:lang w:val="cs-CZ"/>
        </w:rPr>
      </w:pPr>
      <w:r w:rsidRPr="00627978">
        <w:rPr>
          <w:lang w:val="cs-CZ"/>
        </w:rPr>
        <w:t xml:space="preserve">Kód projektu: </w:t>
      </w:r>
      <w:r w:rsidRPr="00627978">
        <w:rPr>
          <w:lang w:val="cs-CZ"/>
        </w:rPr>
        <w:tab/>
      </w:r>
      <w:r w:rsidRPr="00627978">
        <w:rPr>
          <w:lang w:val="cs-CZ"/>
        </w:rPr>
        <w:tab/>
      </w:r>
      <w:r w:rsidR="00E82A76" w:rsidRPr="00E82A76">
        <w:rPr>
          <w:b/>
          <w:bCs/>
          <w:color w:val="FF0000"/>
          <w:lang w:val="cs-CZ"/>
        </w:rPr>
        <w:t>??????</w:t>
      </w:r>
    </w:p>
    <w:p w14:paraId="2D6A10C2" w14:textId="451BF393" w:rsidR="00AA7D22" w:rsidRDefault="00627978" w:rsidP="00AA7D22">
      <w:pPr>
        <w:tabs>
          <w:tab w:val="left" w:pos="1418"/>
        </w:tabs>
        <w:spacing w:line="240" w:lineRule="auto"/>
      </w:pPr>
      <w:r w:rsidRPr="00627978">
        <w:rPr>
          <w:lang w:val="cs-CZ"/>
        </w:rPr>
        <w:t>Jméno:</w:t>
      </w:r>
      <w:r w:rsidRPr="00627978">
        <w:rPr>
          <w:lang w:val="cs-CZ"/>
        </w:rPr>
        <w:tab/>
      </w:r>
      <w:r w:rsidRPr="00627978">
        <w:rPr>
          <w:lang w:val="cs-CZ"/>
        </w:rPr>
        <w:tab/>
      </w:r>
      <w:r w:rsidR="00E82A76" w:rsidRPr="00E82A76">
        <w:rPr>
          <w:b/>
          <w:bCs/>
          <w:color w:val="FF0000"/>
          <w:lang w:val="cs-CZ"/>
        </w:rPr>
        <w:t>??????</w:t>
      </w:r>
    </w:p>
    <w:p w14:paraId="5DBBE684" w14:textId="77777777" w:rsidR="0018426B" w:rsidRDefault="0018426B" w:rsidP="00236620">
      <w:pPr>
        <w:spacing w:line="240" w:lineRule="auto"/>
        <w:rPr>
          <w:lang w:val="cs-CZ"/>
        </w:rPr>
      </w:pPr>
    </w:p>
    <w:p w14:paraId="66C53C3A" w14:textId="53BE4764" w:rsidR="00627978" w:rsidRPr="00627978" w:rsidRDefault="00627978" w:rsidP="00236620">
      <w:pPr>
        <w:spacing w:line="240" w:lineRule="auto"/>
        <w:rPr>
          <w:lang w:val="cs-CZ"/>
        </w:rPr>
      </w:pPr>
      <w:r w:rsidRPr="00627978">
        <w:rPr>
          <w:lang w:val="cs-CZ"/>
        </w:rPr>
        <w:t>Místo a datum:</w:t>
      </w:r>
      <w:r w:rsidRPr="00627978">
        <w:rPr>
          <w:lang w:val="cs-CZ"/>
        </w:rPr>
        <w:tab/>
      </w:r>
      <w:r w:rsidRPr="00627978">
        <w:rPr>
          <w:lang w:val="cs-CZ"/>
        </w:rPr>
        <w:tab/>
        <w:t xml:space="preserve">V Olomouci, </w:t>
      </w:r>
      <w:proofErr w:type="gramStart"/>
      <w:r w:rsidRPr="00627978">
        <w:rPr>
          <w:lang w:val="cs-CZ"/>
        </w:rPr>
        <w:t xml:space="preserve">dne </w:t>
      </w:r>
      <w:r w:rsidR="00E82A76" w:rsidRPr="00E82A76">
        <w:rPr>
          <w:b/>
          <w:bCs/>
          <w:color w:val="FF0000"/>
          <w:lang w:val="cs-CZ"/>
        </w:rPr>
        <w:t>??????</w:t>
      </w:r>
      <w:proofErr w:type="gramEnd"/>
    </w:p>
    <w:p w14:paraId="3CC3B7ED" w14:textId="77777777" w:rsidR="00236620" w:rsidRDefault="00236620" w:rsidP="00236620">
      <w:pPr>
        <w:spacing w:line="240" w:lineRule="auto"/>
        <w:rPr>
          <w:lang w:val="cs-CZ"/>
        </w:rPr>
      </w:pPr>
    </w:p>
    <w:p w14:paraId="66C53C3B" w14:textId="45572F70" w:rsidR="005D19F5" w:rsidRPr="00E65C97" w:rsidRDefault="00627978" w:rsidP="00236620">
      <w:pPr>
        <w:spacing w:line="240" w:lineRule="auto"/>
        <w:rPr>
          <w:lang w:val="cs-CZ"/>
        </w:rPr>
      </w:pPr>
      <w:r w:rsidRPr="00627978">
        <w:rPr>
          <w:lang w:val="cs-CZ"/>
        </w:rPr>
        <w:t>Podpis:</w:t>
      </w:r>
      <w:r w:rsidRPr="00627978">
        <w:rPr>
          <w:lang w:val="cs-CZ"/>
        </w:rPr>
        <w:tab/>
      </w:r>
      <w:r w:rsidRPr="00627978">
        <w:rPr>
          <w:lang w:val="cs-CZ"/>
        </w:rPr>
        <w:tab/>
      </w:r>
      <w:r w:rsidRPr="00627978">
        <w:rPr>
          <w:lang w:val="cs-CZ"/>
        </w:rPr>
        <w:tab/>
        <w:t>……………………………………….………</w:t>
      </w:r>
      <w:proofErr w:type="gramStart"/>
      <w:r w:rsidRPr="00627978">
        <w:rPr>
          <w:lang w:val="cs-CZ"/>
        </w:rPr>
        <w:t>…..</w:t>
      </w:r>
      <w:proofErr w:type="gramEnd"/>
    </w:p>
    <w:sectPr w:rsidR="005D19F5" w:rsidRPr="00E65C97" w:rsidSect="00236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1843" w:left="1985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0952" w14:textId="77777777" w:rsidR="001A20FE" w:rsidRDefault="001A20FE" w:rsidP="00F15613">
      <w:pPr>
        <w:spacing w:line="240" w:lineRule="auto"/>
      </w:pPr>
      <w:r>
        <w:separator/>
      </w:r>
    </w:p>
  </w:endnote>
  <w:endnote w:type="continuationSeparator" w:id="0">
    <w:p w14:paraId="511E5093" w14:textId="77777777" w:rsidR="001A20FE" w:rsidRDefault="001A20FE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0A192" w14:textId="77777777" w:rsidR="00401386" w:rsidRDefault="004013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3C40" w14:textId="77777777" w:rsidR="00C31C1A" w:rsidRPr="0022258F" w:rsidRDefault="00C31C1A" w:rsidP="00C31C1A">
    <w:pPr>
      <w:pStyle w:val="Zpat"/>
      <w:rPr>
        <w:b/>
      </w:rPr>
    </w:pPr>
    <w:proofErr w:type="spellStart"/>
    <w:r w:rsidRPr="0022258F">
      <w:rPr>
        <w:b/>
      </w:rPr>
      <w:t>Vědeckotechnický</w:t>
    </w:r>
    <w:proofErr w:type="spellEnd"/>
    <w:r w:rsidRPr="0022258F">
      <w:rPr>
        <w:b/>
      </w:rPr>
      <w:t xml:space="preserve"> park </w:t>
    </w:r>
    <w:proofErr w:type="spellStart"/>
    <w:r w:rsidRPr="0022258F">
      <w:rPr>
        <w:b/>
      </w:rPr>
      <w:t>Univerzity</w:t>
    </w:r>
    <w:proofErr w:type="spellEnd"/>
    <w:r w:rsidRPr="0022258F">
      <w:rPr>
        <w:b/>
      </w:rPr>
      <w:t xml:space="preserve"> </w:t>
    </w:r>
    <w:proofErr w:type="spellStart"/>
    <w:r w:rsidRPr="0022258F">
      <w:rPr>
        <w:b/>
      </w:rPr>
      <w:t>Palackého</w:t>
    </w:r>
    <w:proofErr w:type="spellEnd"/>
    <w:r w:rsidRPr="0022258F">
      <w:rPr>
        <w:b/>
      </w:rPr>
      <w:t xml:space="preserve"> v </w:t>
    </w:r>
    <w:proofErr w:type="spellStart"/>
    <w:r w:rsidRPr="0022258F">
      <w:rPr>
        <w:b/>
      </w:rPr>
      <w:t>Olomouci</w:t>
    </w:r>
    <w:proofErr w:type="spellEnd"/>
  </w:p>
  <w:p w14:paraId="66C53C41" w14:textId="77777777" w:rsidR="00C31C1A" w:rsidRPr="00947687" w:rsidRDefault="00C31C1A" w:rsidP="00C31C1A">
    <w:pPr>
      <w:pStyle w:val="Zpat"/>
      <w:rPr>
        <w:lang w:val="fr-FR"/>
      </w:rPr>
    </w:pPr>
    <w:r w:rsidRPr="00947687">
      <w:rPr>
        <w:lang w:val="fr-FR"/>
      </w:rPr>
      <w:t>Šlechtitelů 21 | 783 71 Olomouc | T: +420 585 631 420</w:t>
    </w:r>
  </w:p>
  <w:p w14:paraId="66C53C42" w14:textId="77777777" w:rsidR="00F15613" w:rsidRPr="00947687" w:rsidRDefault="00C31C1A" w:rsidP="00C31C1A">
    <w:pPr>
      <w:pStyle w:val="Zpat"/>
      <w:rPr>
        <w:lang w:val="fr-FR"/>
      </w:rPr>
    </w:pPr>
    <w:r w:rsidRPr="00947687">
      <w:rPr>
        <w:lang w:val="fr-FR"/>
      </w:rPr>
      <w:t>vtpup@vtpup.cz | www.vtpup.cz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3C44" w14:textId="470D24B6" w:rsidR="0022258F" w:rsidRPr="0022258F" w:rsidRDefault="0022258F" w:rsidP="0022258F">
    <w:pPr>
      <w:pStyle w:val="Zpat"/>
      <w:rPr>
        <w:b/>
      </w:rPr>
    </w:pPr>
    <w:proofErr w:type="spellStart"/>
    <w:r w:rsidRPr="0022258F">
      <w:rPr>
        <w:b/>
      </w:rPr>
      <w:t>Vědeckotechnický</w:t>
    </w:r>
    <w:proofErr w:type="spellEnd"/>
    <w:r w:rsidRPr="0022258F">
      <w:rPr>
        <w:b/>
      </w:rPr>
      <w:t xml:space="preserve"> park </w:t>
    </w:r>
    <w:proofErr w:type="spellStart"/>
    <w:r w:rsidRPr="0022258F">
      <w:rPr>
        <w:b/>
      </w:rPr>
      <w:t>Univerzity</w:t>
    </w:r>
    <w:proofErr w:type="spellEnd"/>
    <w:r w:rsidRPr="0022258F">
      <w:rPr>
        <w:b/>
      </w:rPr>
      <w:t xml:space="preserve"> </w:t>
    </w:r>
    <w:proofErr w:type="spellStart"/>
    <w:r w:rsidRPr="0022258F">
      <w:rPr>
        <w:b/>
      </w:rPr>
      <w:t>Palackého</w:t>
    </w:r>
    <w:proofErr w:type="spellEnd"/>
    <w:r w:rsidRPr="0022258F">
      <w:rPr>
        <w:b/>
      </w:rPr>
      <w:t xml:space="preserve"> v </w:t>
    </w:r>
    <w:proofErr w:type="spellStart"/>
    <w:r w:rsidRPr="0022258F">
      <w:rPr>
        <w:b/>
      </w:rPr>
      <w:t>Olomouci</w:t>
    </w:r>
    <w:proofErr w:type="spellEnd"/>
    <w:r w:rsidR="0018426B">
      <w:rPr>
        <w:b/>
      </w:rPr>
      <w:tab/>
    </w:r>
    <w:r w:rsidR="0018426B">
      <w:rPr>
        <w:b/>
      </w:rPr>
      <w:tab/>
    </w:r>
    <w:proofErr w:type="spellStart"/>
    <w:r w:rsidR="0018426B">
      <w:rPr>
        <w:b/>
      </w:rPr>
      <w:t>verze</w:t>
    </w:r>
    <w:proofErr w:type="spellEnd"/>
    <w:r w:rsidR="0018426B">
      <w:rPr>
        <w:b/>
      </w:rPr>
      <w:t xml:space="preserve"> </w:t>
    </w:r>
    <w:r w:rsidR="00401386">
      <w:rPr>
        <w:b/>
      </w:rPr>
      <w:t>240802</w:t>
    </w:r>
    <w:bookmarkStart w:id="0" w:name="_GoBack"/>
    <w:bookmarkEnd w:id="0"/>
  </w:p>
  <w:p w14:paraId="66C53C45" w14:textId="77777777" w:rsidR="0022258F" w:rsidRPr="00947687" w:rsidRDefault="0022258F" w:rsidP="00792CA5">
    <w:pPr>
      <w:pStyle w:val="Zpat"/>
      <w:rPr>
        <w:lang w:val="fr-FR"/>
      </w:rPr>
    </w:pPr>
    <w:r w:rsidRPr="00947687">
      <w:rPr>
        <w:lang w:val="fr-FR"/>
      </w:rPr>
      <w:t>Šlechtitelů 21 | 783 71 Olomouc | T: +420 585 631 420</w:t>
    </w:r>
  </w:p>
  <w:p w14:paraId="66C53C46" w14:textId="53838065" w:rsidR="00F15613" w:rsidRPr="00947687" w:rsidRDefault="00FB0FB0" w:rsidP="00792CA5">
    <w:pPr>
      <w:pStyle w:val="Zpat"/>
      <w:rPr>
        <w:lang w:val="fr-FR"/>
      </w:rPr>
    </w:pPr>
    <w:r>
      <w:rPr>
        <w:lang w:val="fr-FR"/>
      </w:rPr>
      <w:t>vtp</w:t>
    </w:r>
    <w:r w:rsidR="0022258F" w:rsidRPr="00947687">
      <w:rPr>
        <w:lang w:val="fr-FR"/>
      </w:rPr>
      <w:t>@</w:t>
    </w:r>
    <w:r>
      <w:rPr>
        <w:lang w:val="fr-FR"/>
      </w:rPr>
      <w:t>upol</w:t>
    </w:r>
    <w:r w:rsidR="0022258F" w:rsidRPr="00947687">
      <w:rPr>
        <w:lang w:val="fr-FR"/>
      </w:rPr>
      <w:t>.cz | www.vtpup.cz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0821" w14:textId="77777777" w:rsidR="001A20FE" w:rsidRDefault="001A20FE" w:rsidP="00F15613">
      <w:pPr>
        <w:spacing w:line="240" w:lineRule="auto"/>
      </w:pPr>
      <w:r>
        <w:separator/>
      </w:r>
    </w:p>
  </w:footnote>
  <w:footnote w:type="continuationSeparator" w:id="0">
    <w:p w14:paraId="511CFC45" w14:textId="77777777" w:rsidR="001A20FE" w:rsidRDefault="001A20FE" w:rsidP="00F15613">
      <w:pPr>
        <w:spacing w:line="240" w:lineRule="auto"/>
      </w:pPr>
      <w:r>
        <w:continuationSeparator/>
      </w:r>
    </w:p>
  </w:footnote>
  <w:footnote w:id="1">
    <w:p w14:paraId="66C53C4B" w14:textId="3A9131E9" w:rsidR="00627978" w:rsidRPr="00C73425" w:rsidRDefault="00627978" w:rsidP="00627978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Z projektu je možné hradit cestu k zákazníkovi a předvedení prototypu, ale není možné hradit účast na vědecké konferenci či příprav</w:t>
      </w:r>
      <w:r w:rsidR="00D83BE5">
        <w:rPr>
          <w:lang w:val="cs-CZ"/>
        </w:rPr>
        <w:t>u a publikaci vědeckých článků. Výjimkou jsou veletrhy a konference, kde je očekáván kontakt s potenciálním zákazníkem.</w:t>
      </w:r>
    </w:p>
  </w:footnote>
  <w:footnote w:id="2">
    <w:p w14:paraId="66C53C4D" w14:textId="77777777" w:rsidR="00627978" w:rsidRPr="005B2BA2" w:rsidRDefault="00627978" w:rsidP="00627978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 w:rsidRPr="00947687">
        <w:rPr>
          <w:lang w:val="cs-CZ"/>
        </w:rPr>
        <w:t xml:space="preserve"> </w:t>
      </w:r>
      <w:r>
        <w:rPr>
          <w:lang w:val="cs-CZ"/>
        </w:rPr>
        <w:t>Tj. řešení lze započít až poté co je připravena TSP.</w:t>
      </w:r>
    </w:p>
  </w:footnote>
  <w:footnote w:id="3">
    <w:p w14:paraId="66C53C4E" w14:textId="77777777" w:rsidR="00627978" w:rsidRPr="00EB6E7A" w:rsidRDefault="00627978" w:rsidP="00627978">
      <w:pPr>
        <w:pStyle w:val="Textpoznpodarou"/>
        <w:jc w:val="both"/>
        <w:rPr>
          <w:lang w:val="cs-CZ"/>
        </w:rPr>
      </w:pPr>
      <w:r>
        <w:rPr>
          <w:rStyle w:val="Znakapoznpodarou"/>
        </w:rPr>
        <w:footnoteRef/>
      </w:r>
      <w:r w:rsidRPr="00947687">
        <w:rPr>
          <w:lang w:val="cs-CZ"/>
        </w:rPr>
        <w:t xml:space="preserve"> </w:t>
      </w:r>
      <w:r>
        <w:rPr>
          <w:lang w:val="cs-CZ"/>
        </w:rPr>
        <w:t xml:space="preserve">Například není možno pořídit počítač do kanceláře, ale je možno pořídit počítač, který bude součástí prototypu.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0DC91" w14:textId="77777777" w:rsidR="00401386" w:rsidRDefault="004013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066161"/>
      <w:docPartObj>
        <w:docPartGallery w:val="Page Numbers (Margins)"/>
        <w:docPartUnique/>
      </w:docPartObj>
    </w:sdtPr>
    <w:sdtEndPr/>
    <w:sdtContent>
      <w:p w14:paraId="78E70AE7" w14:textId="4C21FA2B" w:rsidR="00E82A76" w:rsidRDefault="00E82A76">
        <w:pPr>
          <w:pStyle w:val="Zhlav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144C277" wp14:editId="51567ED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54889" w14:textId="720328A1" w:rsidR="00E82A76" w:rsidRDefault="00E82A7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01386" w:rsidRPr="00401386">
                                <w:rPr>
                                  <w:noProof/>
                                  <w:lang w:val="cs-CZ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44C277" id="Obdélník 4" o:spid="_x0000_s1026" style="position:absolute;margin-left:6.1pt;margin-top:0;width:57.3pt;height:25.95pt;z-index:25166233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4ZigIAAAYFAAAOAAAAZHJzL2Uyb0RvYy54bWysVEtu2zAQ3RfoHQjuHX0qfyREDhK7Lgqk&#10;TYC0B6BEyiJCkSxJW06DHqiLniIX65CyHaftoiiqBcUhh49vZt7w/GLXCbRlxnIlS5ycxRgxWSvK&#10;5brEnz+tRjOMrCOSEqEkK/EDs/hi/vrVea8LlqpWCcoMAhBpi16XuHVOF1Fk65Z1xJ4pzSRsNsp0&#10;xIFp1hE1pAf0TkRpHE+iXhmqjaqZtbC6HDbxPOA3DavdTdNY5pAoMXBzYTRhrPwYzc9JsTZEt7ze&#10;0yD/wKIjXMKlR6glcQRtDP8NquO1UVY17qxWXaSahtcsxADRJPEv0dy1RLMQCyTH6mOa7P+DrT9u&#10;bw3itMQZRpJ0UKKbij59F/Lpxz3KfH56bQtwu9O3xkdo9bWq7y2SatESuWaXxqi+ZYQCq8T7Ry8O&#10;eMPCUVT1HxQFeLJxKqRq15jOA0IS0C5U5OFYEbZzqIbFaTqdJlC3GrbepPl4Mg43kOJwWBvr3jHV&#10;IT8psYGCB3CyvbbOkyHFwSWQV4LTFRciGGZdLYRBWwLiWIVvj25P3YT0zlL5YwPisAIc4Q6/59mG&#10;Yj/mSZrFV2k+Wk1m01G2ysajfBrPRnGSX+WTOMuz5eqbJ5hkRcspZfKaS3YQXpL9XWH3LTBIJkgP&#10;9SXOx+k4xP6CvT0NMg7fn4LsuIM+FLwr8ezoRApf17eSQtikcISLYR69pB+yDDk4/ENWggp84QcB&#10;uV21AxSvhkrRB9CDUVAvKC08HjBplfmKUQ+NWGL7ZUMMw0i8l6CpPMky37nByMbTFAxzulOd7hBZ&#10;A1SJHUbDdOGGbt9ow9ct3JSEHEl1CTpseNDIM6u9eqHZQjD7h8F386kdvJ6fr/lPAA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C9QV4Z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14:paraId="75E54889" w14:textId="720328A1" w:rsidR="00E82A76" w:rsidRDefault="00E82A7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01386" w:rsidRPr="00401386">
                          <w:rPr>
                            <w:noProof/>
                            <w:lang w:val="cs-CZ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3C43" w14:textId="36A0C838" w:rsidR="00F15613" w:rsidRDefault="001A20FE">
    <w:pPr>
      <w:pStyle w:val="Zhlav"/>
    </w:pPr>
    <w:sdt>
      <w:sdtPr>
        <w:id w:val="917066119"/>
        <w:docPartObj>
          <w:docPartGallery w:val="Page Numbers (Margins)"/>
          <w:docPartUnique/>
        </w:docPartObj>
      </w:sdtPr>
      <w:sdtEndPr/>
      <w:sdtContent>
        <w:r w:rsidR="00E82A76"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8BAAC55" wp14:editId="781DE14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1E6A9" w14:textId="0EC26B71" w:rsidR="00E82A76" w:rsidRDefault="00E82A7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01386" w:rsidRPr="00401386">
                                <w:rPr>
                                  <w:noProof/>
                                  <w:lang w:val="cs-CZ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8BAAC55" id="Obdélní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IOjQIAAA0FAAAOAAAAZHJzL2Uyb0RvYy54bWysVEtu2zAQ3RfoHQjubX0ifyREDpK4Lgqk&#10;TYC0B6BEyiJCkSxJW06LHqiLniIX65CyHaftoiiqBcUhh49vZt7w/GLXCbRlxnIlS5yMY4yYrBXl&#10;cl3iTx9XozlG1hFJiVCSlfiRWXyxeP3qvNcFS1WrBGUGAYi0Ra9L3Dqniyiydcs6YsdKMwmbjTId&#10;cWCadUQN6QG9E1Eax9OoV4Zqo2pmLawuh028CPhNw2p32zSWOSRKDNxcGE0YKz9Gi3NSrA3RLa/3&#10;NMg/sOgIl3DpEWpJHEEbw3+D6nhtlFWNG9eqi1TT8JqFGCCaJP4lmvuWaBZigeRYfUyT/X+w9Yft&#10;nUGclvgMI0k6KNFtRZ++C/n04wGd+fz02hbgdq/vjI/Q6htVP1gk1XVL5JpdGqP6lhEKrBLvH704&#10;4A0LR1HVv1cU4MnGqZCqXWM6DwhJQLtQkcdjRdjOoRoWZ+lslkDdatg6S/PJdBJuIMXhsDbWvWWq&#10;Q35SYgMFD+Bke2OdJ0OKg0sgrwSnKy5EMMy6uhYGbQmIYxW+Pbo9dRPSO0vljw2IwwpwhDv8nmcb&#10;iv01T9Isvkrz0Wo6n42yVTYZ5bN4PoqT/CqfxlmeLVffPMEkK1pOKZM3XLKD8JLs7wq7b4FBMkF6&#10;qC9xPkknIfYX7O1pkHH4/hRkxx30oeBdiedHJ1L4ur6RFMImhSNcDPPoJf2QZcjB4R+yElTgCz8I&#10;yO2qXZBZkIgXRaXoI8jCKCgbVBjeEJi0ynzBqId+LLH9vCGGYSTeSZBWnmSZb+BgZJNZCoY53alO&#10;d4isAarEDqNheu2Gpt9ow9ct3JSEVEl1CXJseJDKM6u9iKHnQkz798E39akdvJ5fscVPAAAA//8D&#10;AFBLAwQUAAYACAAAACEAcaaGg9wAAAAEAQAADwAAAGRycy9kb3ducmV2LnhtbEyPQUvDQBCF74L/&#10;YZmCF2k3EVs0ZlNEqRQKhdai1212moTuzobsNE3/vVsvehl4vMd73+TzwVnRYxcaTwrSSQICqfSm&#10;oUrB7nMxfgIRWJPR1hMquGCAeXF7k+vM+DNtsN9yJWIJhUwrqJnbTMpQ1uh0mPgWKXoH3znNUXaV&#10;NJ0+x3Jn5UOSzKTTDcWFWrf4VmN53J6cguO34XW/5GG1bBf37v3Lbi4fVqm70fD6AoJx4L8wXPEj&#10;OhSRae9PZIKwCuIj/HuvXvo4A7FXME2fQRa5/A9f/AAAAP//AwBQSwECLQAUAAYACAAAACEAtoM4&#10;kv4AAADhAQAAEwAAAAAAAAAAAAAAAAAAAAAAW0NvbnRlbnRfVHlwZXNdLnhtbFBLAQItABQABgAI&#10;AAAAIQA4/SH/1gAAAJQBAAALAAAAAAAAAAAAAAAAAC8BAABfcmVscy8ucmVsc1BLAQItABQABgAI&#10;AAAAIQADJkIOjQIAAA0FAAAOAAAAAAAAAAAAAAAAAC4CAABkcnMvZTJvRG9jLnhtbFBLAQItABQA&#10;BgAIAAAAIQBxpoaD3AAAAAQBAAAPAAAAAAAAAAAAAAAAAOcEAABkcnMvZG93bnJldi54bWxQSwUG&#10;AAAAAAQABADzAAAA8AUAAAAA&#10;" o:allowincell="f" stroked="f">
                  <v:textbox>
                    <w:txbxContent>
                      <w:p w14:paraId="4C71E6A9" w14:textId="0EC26B71" w:rsidR="00E82A76" w:rsidRDefault="00E82A7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01386" w:rsidRPr="00401386">
                          <w:rPr>
                            <w:noProof/>
                            <w:lang w:val="cs-CZ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9102D">
      <w:rPr>
        <w:noProof/>
        <w:lang w:val="cs-CZ" w:eastAsia="cs-CZ"/>
      </w:rPr>
      <w:drawing>
        <wp:anchor distT="0" distB="0" distL="114300" distR="114300" simplePos="0" relativeHeight="251658240" behindDoc="0" locked="1" layoutInCell="1" allowOverlap="1" wp14:anchorId="66C53C47" wp14:editId="66C53C48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02D">
      <w:rPr>
        <w:noProof/>
        <w:lang w:val="cs-CZ" w:eastAsia="cs-CZ"/>
      </w:rPr>
      <w:drawing>
        <wp:anchor distT="720090" distB="720090" distL="114300" distR="114300" simplePos="0" relativeHeight="251657216" behindDoc="0" locked="1" layoutInCell="1" allowOverlap="1" wp14:anchorId="66C53C49" wp14:editId="66C53C4A">
          <wp:simplePos x="0" y="0"/>
          <wp:positionH relativeFrom="page">
            <wp:posOffset>790575</wp:posOffset>
          </wp:positionH>
          <wp:positionV relativeFrom="page">
            <wp:posOffset>1415415</wp:posOffset>
          </wp:positionV>
          <wp:extent cx="2349500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23C"/>
    <w:multiLevelType w:val="hybridMultilevel"/>
    <w:tmpl w:val="5C72F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167E"/>
    <w:multiLevelType w:val="hybridMultilevel"/>
    <w:tmpl w:val="1E840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43815"/>
    <w:multiLevelType w:val="hybridMultilevel"/>
    <w:tmpl w:val="69D23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42FE"/>
    <w:multiLevelType w:val="hybridMultilevel"/>
    <w:tmpl w:val="9FA88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D06E3"/>
    <w:multiLevelType w:val="hybridMultilevel"/>
    <w:tmpl w:val="CF1858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C3AF9"/>
    <w:multiLevelType w:val="hybridMultilevel"/>
    <w:tmpl w:val="34D4303A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4B3F7FD8"/>
    <w:multiLevelType w:val="hybridMultilevel"/>
    <w:tmpl w:val="B4D49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B1D9C"/>
    <w:multiLevelType w:val="multilevel"/>
    <w:tmpl w:val="9EDCFB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357C0F"/>
    <w:multiLevelType w:val="hybridMultilevel"/>
    <w:tmpl w:val="2D64D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1MLA0tTAxszQxN7ZQ0lEKTi0uzszPAykwqwUAPv7GeSwAAAA="/>
  </w:docVars>
  <w:rsids>
    <w:rsidRoot w:val="00627978"/>
    <w:rsid w:val="00060C62"/>
    <w:rsid w:val="0007026C"/>
    <w:rsid w:val="000F0D39"/>
    <w:rsid w:val="0010566D"/>
    <w:rsid w:val="00146FF1"/>
    <w:rsid w:val="00175CE6"/>
    <w:rsid w:val="0018426B"/>
    <w:rsid w:val="001856F8"/>
    <w:rsid w:val="001A20FE"/>
    <w:rsid w:val="001A2373"/>
    <w:rsid w:val="002004C5"/>
    <w:rsid w:val="0022258F"/>
    <w:rsid w:val="00222FB7"/>
    <w:rsid w:val="00236620"/>
    <w:rsid w:val="0026024D"/>
    <w:rsid w:val="00276D6B"/>
    <w:rsid w:val="002772BB"/>
    <w:rsid w:val="002E3612"/>
    <w:rsid w:val="002F4948"/>
    <w:rsid w:val="00331D95"/>
    <w:rsid w:val="003B3BCD"/>
    <w:rsid w:val="003D62B5"/>
    <w:rsid w:val="004001B9"/>
    <w:rsid w:val="00401386"/>
    <w:rsid w:val="00430F25"/>
    <w:rsid w:val="00433A41"/>
    <w:rsid w:val="00456C33"/>
    <w:rsid w:val="00486300"/>
    <w:rsid w:val="00494114"/>
    <w:rsid w:val="004D171B"/>
    <w:rsid w:val="00502BEF"/>
    <w:rsid w:val="00540537"/>
    <w:rsid w:val="005B6853"/>
    <w:rsid w:val="005C2BD0"/>
    <w:rsid w:val="005D19F5"/>
    <w:rsid w:val="005E387A"/>
    <w:rsid w:val="00620C89"/>
    <w:rsid w:val="00627978"/>
    <w:rsid w:val="00627AA8"/>
    <w:rsid w:val="00680944"/>
    <w:rsid w:val="006B22CE"/>
    <w:rsid w:val="006E3956"/>
    <w:rsid w:val="006F5C4B"/>
    <w:rsid w:val="00702C0D"/>
    <w:rsid w:val="007519A7"/>
    <w:rsid w:val="007643C2"/>
    <w:rsid w:val="00792CA5"/>
    <w:rsid w:val="00795D0F"/>
    <w:rsid w:val="007A331C"/>
    <w:rsid w:val="007D42CE"/>
    <w:rsid w:val="007D517A"/>
    <w:rsid w:val="007F3BFD"/>
    <w:rsid w:val="007F6FCC"/>
    <w:rsid w:val="00834F96"/>
    <w:rsid w:val="00845A87"/>
    <w:rsid w:val="00862C56"/>
    <w:rsid w:val="0089158A"/>
    <w:rsid w:val="008B1261"/>
    <w:rsid w:val="008E27A7"/>
    <w:rsid w:val="009364E1"/>
    <w:rsid w:val="00947687"/>
    <w:rsid w:val="009554FB"/>
    <w:rsid w:val="00990090"/>
    <w:rsid w:val="009A78FA"/>
    <w:rsid w:val="009B4205"/>
    <w:rsid w:val="009D77E6"/>
    <w:rsid w:val="009E629B"/>
    <w:rsid w:val="009F3F9F"/>
    <w:rsid w:val="00A04911"/>
    <w:rsid w:val="00A1351A"/>
    <w:rsid w:val="00A47D2E"/>
    <w:rsid w:val="00A5561A"/>
    <w:rsid w:val="00AA4AA2"/>
    <w:rsid w:val="00AA7D22"/>
    <w:rsid w:val="00AB47B2"/>
    <w:rsid w:val="00AC39E1"/>
    <w:rsid w:val="00B028C4"/>
    <w:rsid w:val="00B055A8"/>
    <w:rsid w:val="00B15CD8"/>
    <w:rsid w:val="00B52715"/>
    <w:rsid w:val="00B73FD1"/>
    <w:rsid w:val="00BB638F"/>
    <w:rsid w:val="00BC2920"/>
    <w:rsid w:val="00BC3E9B"/>
    <w:rsid w:val="00BD04D6"/>
    <w:rsid w:val="00BE1819"/>
    <w:rsid w:val="00BF3C00"/>
    <w:rsid w:val="00BF49AF"/>
    <w:rsid w:val="00C31C1A"/>
    <w:rsid w:val="00C6493E"/>
    <w:rsid w:val="00C774B2"/>
    <w:rsid w:val="00CB5F24"/>
    <w:rsid w:val="00D04820"/>
    <w:rsid w:val="00D13E57"/>
    <w:rsid w:val="00D26D12"/>
    <w:rsid w:val="00D61B91"/>
    <w:rsid w:val="00D62385"/>
    <w:rsid w:val="00D727D5"/>
    <w:rsid w:val="00D83BE5"/>
    <w:rsid w:val="00D955E7"/>
    <w:rsid w:val="00DC5FA7"/>
    <w:rsid w:val="00DE39B0"/>
    <w:rsid w:val="00E03CB2"/>
    <w:rsid w:val="00E47977"/>
    <w:rsid w:val="00E613E6"/>
    <w:rsid w:val="00E64D97"/>
    <w:rsid w:val="00E65C97"/>
    <w:rsid w:val="00E82A76"/>
    <w:rsid w:val="00E97744"/>
    <w:rsid w:val="00EC60B0"/>
    <w:rsid w:val="00F0078F"/>
    <w:rsid w:val="00F056E6"/>
    <w:rsid w:val="00F144C7"/>
    <w:rsid w:val="00F15613"/>
    <w:rsid w:val="00F72692"/>
    <w:rsid w:val="00F81C25"/>
    <w:rsid w:val="00F9102D"/>
    <w:rsid w:val="00FA5E73"/>
    <w:rsid w:val="00FB0FB0"/>
    <w:rsid w:val="00FB21A4"/>
    <w:rsid w:val="00FC623F"/>
    <w:rsid w:val="01C8B59B"/>
    <w:rsid w:val="05AF2261"/>
    <w:rsid w:val="0727D5C7"/>
    <w:rsid w:val="08BAFD72"/>
    <w:rsid w:val="09DC7E54"/>
    <w:rsid w:val="0A94E4C5"/>
    <w:rsid w:val="0CF22293"/>
    <w:rsid w:val="14A7BA54"/>
    <w:rsid w:val="16857FD7"/>
    <w:rsid w:val="16872E18"/>
    <w:rsid w:val="172B9507"/>
    <w:rsid w:val="187AB828"/>
    <w:rsid w:val="1DAF1057"/>
    <w:rsid w:val="1F72B436"/>
    <w:rsid w:val="20852E31"/>
    <w:rsid w:val="208FFBAB"/>
    <w:rsid w:val="22CE132E"/>
    <w:rsid w:val="24C0D09E"/>
    <w:rsid w:val="267D2D27"/>
    <w:rsid w:val="2993A2B2"/>
    <w:rsid w:val="2D123BC8"/>
    <w:rsid w:val="362ACA15"/>
    <w:rsid w:val="37E4C2D6"/>
    <w:rsid w:val="38E078EC"/>
    <w:rsid w:val="3D781963"/>
    <w:rsid w:val="45EA17B6"/>
    <w:rsid w:val="462BC661"/>
    <w:rsid w:val="46B3BB06"/>
    <w:rsid w:val="482DDF07"/>
    <w:rsid w:val="4D7B047B"/>
    <w:rsid w:val="4DB27A0E"/>
    <w:rsid w:val="4F17E756"/>
    <w:rsid w:val="4FC3C3D7"/>
    <w:rsid w:val="5A85213A"/>
    <w:rsid w:val="5E933192"/>
    <w:rsid w:val="606EC8D8"/>
    <w:rsid w:val="6583CBB1"/>
    <w:rsid w:val="671D6AB5"/>
    <w:rsid w:val="6B681344"/>
    <w:rsid w:val="6DCB8D92"/>
    <w:rsid w:val="6F12284C"/>
    <w:rsid w:val="74DD0095"/>
    <w:rsid w:val="774D5FDC"/>
    <w:rsid w:val="7ADDBB9F"/>
    <w:rsid w:val="7EB269CF"/>
    <w:rsid w:val="7F93B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53C1C"/>
  <w15:docId w15:val="{6190C967-75C9-4448-AEA3-56E4E59F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1842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7978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7978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7978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7978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7978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B3BCD"/>
    <w:pPr>
      <w:spacing w:after="160" w:line="259" w:lineRule="auto"/>
      <w:ind w:left="720"/>
    </w:pPr>
  </w:style>
  <w:style w:type="character" w:styleId="Hypertextovodkaz">
    <w:name w:val="Hyperlink"/>
    <w:basedOn w:val="Standardnpsmoodstavce"/>
    <w:uiPriority w:val="99"/>
    <w:unhideWhenUsed/>
    <w:rsid w:val="003B3BC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797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797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797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7978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7978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79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7978"/>
    <w:rPr>
      <w:rFonts w:asciiTheme="minorHAnsi" w:eastAsiaTheme="minorHAnsi" w:hAnsiTheme="minorHAnsi" w:cstheme="minorBidi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2797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1B9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eckap\Desktop\UP_hlavickovy-papir_VTP%20od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325E6F1F278469D137710CD1066C7" ma:contentTypeVersion="12" ma:contentTypeDescription="Vytvoří nový dokument" ma:contentTypeScope="" ma:versionID="cbf7b975b0dd02bcd96131a2a93e43d8">
  <xsd:schema xmlns:xsd="http://www.w3.org/2001/XMLSchema" xmlns:xs="http://www.w3.org/2001/XMLSchema" xmlns:p="http://schemas.microsoft.com/office/2006/metadata/properties" xmlns:ns2="3773c3d3-0c7e-47b7-a2b2-e70c86cc2799" xmlns:ns3="3bfff8b1-76c5-48a8-873c-ad03ae877152" targetNamespace="http://schemas.microsoft.com/office/2006/metadata/properties" ma:root="true" ma:fieldsID="2afbd670b993fce0e82492717f9da894" ns2:_="" ns3:_="">
    <xsd:import namespace="3773c3d3-0c7e-47b7-a2b2-e70c86cc2799"/>
    <xsd:import namespace="3bfff8b1-76c5-48a8-873c-ad03ae877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c3d3-0c7e-47b7-a2b2-e70c86cc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f8b1-76c5-48a8-873c-ad03ae877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FCA3-54C2-44B1-80CD-C8FF4FA0A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3c3d3-0c7e-47b7-a2b2-e70c86cc2799"/>
    <ds:schemaRef ds:uri="3bfff8b1-76c5-48a8-873c-ad03ae877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6206C-DEC7-4B1E-B26B-58ECA63186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D554B2-C013-4344-BCE7-7A6C2AFAA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19616-6162-4595-92FA-8B75C68B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UP_hlavickovy-papir_VTP od 2015.dotx</Template>
  <TotalTime>2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Kubečka</dc:creator>
  <cp:lastModifiedBy>Petr Suchomel</cp:lastModifiedBy>
  <cp:revision>4</cp:revision>
  <cp:lastPrinted>2018-08-21T06:02:00Z</cp:lastPrinted>
  <dcterms:created xsi:type="dcterms:W3CDTF">2024-08-02T07:51:00Z</dcterms:created>
  <dcterms:modified xsi:type="dcterms:W3CDTF">2024-08-02T07:57:00Z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0x010100AFC325E6F1F278469D137710CD1066C7</vt:lpwstr>
  </property>
</Properties>
</file>